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D3625" w14:textId="1A65AFE3" w:rsidR="001D6347" w:rsidRPr="007B0F9F" w:rsidRDefault="001D6347" w:rsidP="00786B84">
      <w:pPr>
        <w:jc w:val="center"/>
        <w:rPr>
          <w:rFonts w:asciiTheme="majorHAnsi" w:hAnsiTheme="majorHAnsi"/>
          <w:sz w:val="28"/>
        </w:rPr>
      </w:pPr>
      <w:r>
        <w:rPr>
          <w:rFonts w:asciiTheme="majorHAnsi" w:hAnsiTheme="majorHAnsi"/>
          <w:sz w:val="28"/>
        </w:rPr>
        <w:t>IAC-</w:t>
      </w:r>
      <w:r w:rsidR="00833679">
        <w:rPr>
          <w:rFonts w:asciiTheme="majorHAnsi" w:hAnsiTheme="majorHAnsi"/>
          <w:sz w:val="28"/>
        </w:rPr>
        <w:t>21</w:t>
      </w:r>
      <w:r>
        <w:rPr>
          <w:rFonts w:asciiTheme="majorHAnsi" w:hAnsiTheme="majorHAnsi"/>
          <w:sz w:val="28"/>
        </w:rPr>
        <w:t>-D4.3</w:t>
      </w:r>
      <w:r w:rsidRPr="00833679">
        <w:rPr>
          <w:rFonts w:asciiTheme="majorHAnsi" w:hAnsiTheme="majorHAnsi"/>
          <w:color w:val="000000" w:themeColor="text1"/>
          <w:sz w:val="28"/>
        </w:rPr>
        <w:t>.</w:t>
      </w:r>
      <w:r w:rsidR="00833679" w:rsidRPr="00833679">
        <w:rPr>
          <w:rFonts w:asciiTheme="majorHAnsi" w:hAnsiTheme="majorHAnsi"/>
          <w:color w:val="000000" w:themeColor="text1"/>
          <w:sz w:val="28"/>
        </w:rPr>
        <w:t>3</w:t>
      </w:r>
    </w:p>
    <w:p w14:paraId="27DDD978" w14:textId="773F527E" w:rsidR="00833679" w:rsidRDefault="00833679" w:rsidP="00833679">
      <w:pPr>
        <w:jc w:val="center"/>
        <w:rPr>
          <w:rFonts w:asciiTheme="majorHAnsi" w:hAnsiTheme="majorHAnsi"/>
          <w:b/>
          <w:sz w:val="32"/>
          <w:lang w:eastAsia="zh-TW"/>
        </w:rPr>
      </w:pPr>
      <w:r w:rsidRPr="00833679">
        <w:rPr>
          <w:rFonts w:asciiTheme="majorHAnsi" w:hAnsiTheme="majorHAnsi"/>
          <w:b/>
          <w:sz w:val="32"/>
          <w:lang w:eastAsia="zh-TW"/>
        </w:rPr>
        <w:t>SPACE ELEVATORS ENTERING</w:t>
      </w:r>
    </w:p>
    <w:p w14:paraId="39327115" w14:textId="534C9AF7" w:rsidR="00833679" w:rsidRPr="00833679" w:rsidRDefault="00833679" w:rsidP="00833679">
      <w:pPr>
        <w:jc w:val="center"/>
        <w:rPr>
          <w:rFonts w:asciiTheme="majorHAnsi" w:hAnsiTheme="majorHAnsi"/>
          <w:b/>
          <w:sz w:val="32"/>
          <w:lang w:eastAsia="zh-TW"/>
        </w:rPr>
      </w:pPr>
      <w:r w:rsidRPr="00833679">
        <w:rPr>
          <w:rFonts w:asciiTheme="majorHAnsi" w:hAnsiTheme="majorHAnsi"/>
          <w:b/>
          <w:sz w:val="32"/>
          <w:lang w:eastAsia="zh-TW"/>
        </w:rPr>
        <w:t>ENGINEERING DEVELOPMENT - NOW</w:t>
      </w:r>
    </w:p>
    <w:p w14:paraId="59C20E2C" w14:textId="05796641" w:rsidR="001D6347" w:rsidRPr="007B0F9F" w:rsidRDefault="001D6347" w:rsidP="00786B84">
      <w:pPr>
        <w:jc w:val="center"/>
        <w:rPr>
          <w:rFonts w:asciiTheme="majorHAnsi" w:hAnsiTheme="majorHAnsi"/>
          <w:sz w:val="32"/>
        </w:rPr>
      </w:pPr>
      <w:r>
        <w:rPr>
          <w:b/>
          <w:sz w:val="32"/>
          <w:lang w:eastAsia="zh-TW"/>
        </w:rPr>
        <w:t xml:space="preserve">Michael Fitzgerald* and </w:t>
      </w:r>
      <w:r>
        <w:rPr>
          <w:rFonts w:asciiTheme="majorHAnsi" w:hAnsiTheme="majorHAnsi"/>
          <w:b/>
          <w:sz w:val="32"/>
          <w:lang w:eastAsia="zh-TW"/>
        </w:rPr>
        <w:t>Peter Swan**</w:t>
      </w:r>
      <w:r w:rsidRPr="007B0F9F">
        <w:rPr>
          <w:rFonts w:asciiTheme="majorHAnsi" w:hAnsiTheme="majorHAnsi"/>
          <w:b/>
          <w:sz w:val="32"/>
          <w:lang w:eastAsia="zh-TW"/>
        </w:rPr>
        <w:t xml:space="preserve"> </w:t>
      </w:r>
    </w:p>
    <w:p w14:paraId="04A6A13A" w14:textId="77777777" w:rsidR="001D6347" w:rsidRPr="007B0F9F" w:rsidRDefault="001D6347" w:rsidP="00786B84">
      <w:pPr>
        <w:rPr>
          <w:rFonts w:asciiTheme="majorHAnsi" w:hAnsiTheme="majorHAnsi"/>
        </w:rPr>
      </w:pPr>
    </w:p>
    <w:p w14:paraId="59098831" w14:textId="5C14E9B2" w:rsidR="001D6347" w:rsidRDefault="001D6347" w:rsidP="00786B84">
      <w:pPr>
        <w:rPr>
          <w:rFonts w:asciiTheme="majorHAnsi" w:hAnsiTheme="majorHAnsi"/>
        </w:rPr>
      </w:pPr>
      <w:r w:rsidRPr="00AB392D">
        <w:rPr>
          <w:rFonts w:hAnsi="DFKai-SB"/>
          <w:sz w:val="22"/>
        </w:rPr>
        <w:t>*</w:t>
      </w:r>
      <w:r>
        <w:rPr>
          <w:rFonts w:hAnsi="DFKai-SB"/>
          <w:sz w:val="22"/>
        </w:rPr>
        <w:t>Galactic Harbours Assoc.</w:t>
      </w:r>
      <w:r w:rsidRPr="00AB392D">
        <w:rPr>
          <w:rFonts w:hAnsi="DFKai-SB"/>
          <w:sz w:val="22"/>
        </w:rPr>
        <w:t>, Rancho Palos Verdes, Calif. USA.</w:t>
      </w:r>
      <w:r w:rsidRPr="00AB392D">
        <w:rPr>
          <w:rFonts w:hAnsi="DFKai-SB" w:hint="eastAsia"/>
          <w:sz w:val="22"/>
          <w:u w:val="single"/>
        </w:rPr>
        <w:t xml:space="preserve"> </w:t>
      </w:r>
      <w:r w:rsidRPr="00AB392D">
        <w:rPr>
          <w:rFonts w:hAnsi="DFKai-SB" w:hint="eastAsia"/>
          <w:sz w:val="22"/>
        </w:rPr>
        <w:t>M</w:t>
      </w:r>
      <w:r w:rsidRPr="00AB392D">
        <w:rPr>
          <w:rFonts w:hAnsi="DFKai-SB"/>
          <w:sz w:val="22"/>
        </w:rPr>
        <w:t>ichael.Fitzgerald@cox.net</w:t>
      </w:r>
      <w:r>
        <w:rPr>
          <w:rFonts w:hAnsi="DFKai-SB"/>
          <w:sz w:val="22"/>
        </w:rPr>
        <w:t xml:space="preserve"> </w:t>
      </w:r>
    </w:p>
    <w:p w14:paraId="0783EF7D" w14:textId="295634A5" w:rsidR="001D6347" w:rsidRPr="00555BAE" w:rsidRDefault="001D6347" w:rsidP="00786B84">
      <w:pPr>
        <w:snapToGrid w:val="0"/>
        <w:rPr>
          <w:rFonts w:asciiTheme="majorHAnsi" w:hAnsiTheme="majorHAnsi"/>
          <w:sz w:val="22"/>
          <w:szCs w:val="22"/>
        </w:rPr>
      </w:pPr>
      <w:r w:rsidRPr="00555BAE">
        <w:rPr>
          <w:rFonts w:asciiTheme="majorHAnsi" w:hAnsiTheme="majorHAnsi"/>
          <w:sz w:val="22"/>
          <w:szCs w:val="22"/>
        </w:rPr>
        <w:t>*</w:t>
      </w:r>
      <w:r>
        <w:rPr>
          <w:rFonts w:asciiTheme="majorHAnsi" w:hAnsiTheme="majorHAnsi"/>
          <w:sz w:val="22"/>
          <w:szCs w:val="22"/>
        </w:rPr>
        <w:t>*</w:t>
      </w:r>
      <w:r w:rsidRPr="00555BAE">
        <w:rPr>
          <w:rFonts w:asciiTheme="majorHAnsi" w:hAnsiTheme="majorHAnsi"/>
          <w:sz w:val="22"/>
          <w:szCs w:val="22"/>
        </w:rPr>
        <w:t xml:space="preserve">International Space Elevator Consortium, Paradise Valley, Az, USA </w:t>
      </w:r>
      <w:hyperlink r:id="rId8" w:history="1">
        <w:r w:rsidRPr="00555BAE">
          <w:rPr>
            <w:rStyle w:val="Hyperlink"/>
            <w:rFonts w:asciiTheme="majorHAnsi" w:hAnsiTheme="majorHAnsi"/>
            <w:sz w:val="22"/>
            <w:szCs w:val="22"/>
          </w:rPr>
          <w:t>dr-swan@cox.net</w:t>
        </w:r>
      </w:hyperlink>
      <w:r w:rsidRPr="00555BAE">
        <w:rPr>
          <w:rFonts w:asciiTheme="majorHAnsi" w:hAnsiTheme="majorHAnsi"/>
          <w:sz w:val="22"/>
          <w:szCs w:val="22"/>
        </w:rPr>
        <w:t xml:space="preserve">. </w:t>
      </w:r>
    </w:p>
    <w:p w14:paraId="5FCC491F" w14:textId="77777777" w:rsidR="001D6347" w:rsidRPr="007B0F9F" w:rsidRDefault="001D6347" w:rsidP="00786B84">
      <w:pPr>
        <w:rPr>
          <w:rFonts w:asciiTheme="majorHAnsi" w:hAnsiTheme="majorHAnsi"/>
        </w:rPr>
      </w:pPr>
    </w:p>
    <w:p w14:paraId="3B1E2080" w14:textId="77777777" w:rsidR="001D6347" w:rsidRPr="007B0F9F" w:rsidRDefault="001D6347" w:rsidP="00786B84">
      <w:pPr>
        <w:jc w:val="center"/>
        <w:rPr>
          <w:rFonts w:asciiTheme="majorHAnsi" w:hAnsiTheme="majorHAnsi"/>
          <w:b/>
          <w:lang w:eastAsia="zh-TW"/>
        </w:rPr>
      </w:pPr>
      <w:r w:rsidRPr="007B0F9F">
        <w:rPr>
          <w:rFonts w:asciiTheme="majorHAnsi" w:hAnsiTheme="majorHAnsi"/>
          <w:b/>
          <w:lang w:eastAsia="zh-TW"/>
        </w:rPr>
        <w:t>Abstract</w:t>
      </w:r>
    </w:p>
    <w:p w14:paraId="1659C17D" w14:textId="77777777" w:rsidR="00833679" w:rsidRPr="00833679" w:rsidRDefault="00833679" w:rsidP="00833679">
      <w:pPr>
        <w:spacing w:before="100" w:beforeAutospacing="1" w:after="100" w:afterAutospacing="1"/>
        <w:rPr>
          <w:rFonts w:ascii="Times New Roman" w:eastAsia="Times New Roman" w:hAnsi="Times New Roman" w:cs="Times New Roman"/>
        </w:rPr>
      </w:pPr>
      <w:r w:rsidRPr="00833679">
        <w:rPr>
          <w:rFonts w:ascii="CMR10" w:eastAsia="Times New Roman" w:hAnsi="CMR10" w:cs="Times New Roman"/>
          <w:sz w:val="20"/>
          <w:szCs w:val="20"/>
        </w:rPr>
        <w:t xml:space="preserve">The Space Elevator community has developed the necessary body of knowledge sufficient for the initiation of a Space Elevator development program. With the publishing of 15 technical studies (2 IAA, 13 ISEC, 1 Obayashi) we believe the implementation of a Space Elevator is now necessary to support humanity’s needs and dreams. We can make the bold statement - </w:t>
      </w:r>
    </w:p>
    <w:p w14:paraId="411540FC" w14:textId="77777777" w:rsidR="00833679" w:rsidRDefault="00833679" w:rsidP="00833679">
      <w:pPr>
        <w:spacing w:before="100" w:beforeAutospacing="1" w:after="100" w:afterAutospacing="1"/>
        <w:ind w:left="720" w:right="990"/>
        <w:rPr>
          <w:rFonts w:ascii="CMR10" w:eastAsia="Times New Roman" w:hAnsi="CMR10" w:cs="Times New Roman"/>
          <w:sz w:val="20"/>
          <w:szCs w:val="20"/>
        </w:rPr>
      </w:pPr>
      <w:r w:rsidRPr="00833679">
        <w:rPr>
          <w:rFonts w:ascii="CMR10" w:eastAsia="Times New Roman" w:hAnsi="CMR10" w:cs="Times New Roman"/>
          <w:sz w:val="20"/>
          <w:szCs w:val="20"/>
        </w:rPr>
        <w:t xml:space="preserve">We are ready to initiate a mega-project, called the Space Elevator - as the technologies are lined up as required. It is not only desirable for moving tonnage to orbit, but it is necessary for the health of Humankind. </w:t>
      </w:r>
    </w:p>
    <w:p w14:paraId="0C608E70" w14:textId="3CE1E4DA" w:rsidR="00833679" w:rsidRPr="00833679" w:rsidRDefault="00833679" w:rsidP="00833679">
      <w:pPr>
        <w:spacing w:before="100" w:beforeAutospacing="1" w:after="100" w:afterAutospacing="1"/>
        <w:rPr>
          <w:rFonts w:ascii="Times New Roman" w:eastAsia="Times New Roman" w:hAnsi="Times New Roman" w:cs="Times New Roman"/>
        </w:rPr>
      </w:pPr>
      <w:r w:rsidRPr="00833679">
        <w:rPr>
          <w:rFonts w:ascii="CMR10" w:eastAsia="Times New Roman" w:hAnsi="CMR10" w:cs="Times New Roman"/>
          <w:sz w:val="20"/>
          <w:szCs w:val="20"/>
        </w:rPr>
        <w:t xml:space="preserve">The process of Architectural Engineering, which focuses on major system development, is relatively new in the space arena. This paper looks at Architectural Engineering as a discipline and shows its strengths for producing developmental roadmaps. Space Elevators are shown as being in a sequence, or flow, of development. This explains how the design of Space Elevators has moved past the preliminary technological readiness assessment and is ready to initiate segment level testing towards engineering validations. The development of Space Elevators should be initiated NOW for two reasons. </w:t>
      </w:r>
      <w:r w:rsidRPr="00833679">
        <w:rPr>
          <w:rFonts w:ascii="CMSY10" w:eastAsia="Times New Roman" w:hAnsi="CMSY10" w:cs="Times New Roman"/>
          <w:sz w:val="20"/>
          <w:szCs w:val="20"/>
        </w:rPr>
        <w:t xml:space="preserve">• </w:t>
      </w:r>
      <w:r w:rsidRPr="00833679">
        <w:rPr>
          <w:rFonts w:ascii="CMR10" w:eastAsia="Times New Roman" w:hAnsi="CMR10" w:cs="Times New Roman"/>
          <w:sz w:val="20"/>
          <w:szCs w:val="20"/>
        </w:rPr>
        <w:t xml:space="preserve">First: The Demand Pull for customer delivery of massive tonnage to GEO and beyond cannot reasonably be accomplished with traditional approaches. </w:t>
      </w:r>
      <w:r w:rsidRPr="00833679">
        <w:rPr>
          <w:rFonts w:ascii="CMSY10" w:eastAsia="Times New Roman" w:hAnsi="CMSY10" w:cs="Times New Roman"/>
          <w:sz w:val="20"/>
          <w:szCs w:val="20"/>
        </w:rPr>
        <w:t xml:space="preserve">• </w:t>
      </w:r>
      <w:r w:rsidRPr="00833679">
        <w:rPr>
          <w:rFonts w:ascii="CMR10" w:eastAsia="Times New Roman" w:hAnsi="CMR10" w:cs="Times New Roman"/>
          <w:sz w:val="20"/>
          <w:szCs w:val="20"/>
        </w:rPr>
        <w:t xml:space="preserve">Second: The situation has altered in the Space Elevator developmental status. We now have a material that can be used for the tether and is long enough and strong enough. Phase two can begin now as phase one has been completed. Industry involvement is an imperative. Phase two activities are driven by six major activities: examine Industry’s production foundation, determine if the segments can be built, assess schedule technical risk, delineate design criteria, set criteria and standards to enter the Design Validation Phase, and baseline operations performance. </w:t>
      </w:r>
    </w:p>
    <w:p w14:paraId="305064F8" w14:textId="082AA7E8" w:rsidR="00786B84" w:rsidRPr="00670589" w:rsidRDefault="001D6347" w:rsidP="00484D13">
      <w:pPr>
        <w:rPr>
          <w:rFonts w:ascii="CMR10" w:eastAsia="Times New Roman" w:hAnsi="CMR10" w:cs="Times New Roman"/>
          <w:sz w:val="20"/>
          <w:szCs w:val="20"/>
        </w:rPr>
      </w:pPr>
      <w:r w:rsidRPr="001D6347">
        <w:rPr>
          <w:rFonts w:eastAsia="Times New Roman"/>
          <w:b/>
          <w:i/>
          <w:iCs/>
        </w:rPr>
        <w:t>1.0</w:t>
      </w:r>
      <w:r w:rsidRPr="001D6347">
        <w:rPr>
          <w:rFonts w:eastAsia="Times New Roman"/>
          <w:b/>
          <w:i/>
          <w:iCs/>
        </w:rPr>
        <w:tab/>
        <w:t>Preface and Introduction:</w:t>
      </w:r>
      <w:r w:rsidRPr="007B0F9F">
        <w:rPr>
          <w:rFonts w:asciiTheme="majorHAnsi" w:eastAsia="Times New Roman" w:hAnsiTheme="majorHAnsi"/>
        </w:rPr>
        <w:tab/>
      </w:r>
      <w:r w:rsidR="00BE20CD" w:rsidRPr="00670589">
        <w:rPr>
          <w:rFonts w:ascii="CMR10" w:eastAsia="Times New Roman" w:hAnsi="CMR10" w:cs="Times New Roman"/>
          <w:sz w:val="20"/>
          <w:szCs w:val="20"/>
        </w:rPr>
        <w:t xml:space="preserve">In the </w:t>
      </w:r>
      <w:r w:rsidR="00717A61" w:rsidRPr="00670589">
        <w:rPr>
          <w:rFonts w:ascii="CMR10" w:eastAsia="Times New Roman" w:hAnsi="CMR10" w:cs="Times New Roman"/>
          <w:sz w:val="20"/>
          <w:szCs w:val="20"/>
        </w:rPr>
        <w:t xml:space="preserve">last 13 years, there have been 14 study reports assessing the progress of the </w:t>
      </w:r>
      <w:r w:rsidR="00905A5F" w:rsidRPr="00670589">
        <w:rPr>
          <w:rFonts w:ascii="CMR10" w:eastAsia="Times New Roman" w:hAnsi="CMR10" w:cs="Times New Roman"/>
          <w:sz w:val="20"/>
          <w:szCs w:val="20"/>
        </w:rPr>
        <w:t xml:space="preserve">Space Elevator </w:t>
      </w:r>
      <w:r w:rsidR="00717A61" w:rsidRPr="00670589">
        <w:rPr>
          <w:rFonts w:ascii="CMR10" w:eastAsia="Times New Roman" w:hAnsi="CMR10" w:cs="Times New Roman"/>
          <w:sz w:val="20"/>
          <w:szCs w:val="20"/>
        </w:rPr>
        <w:t>program.  There were two International Academy of Astronautics studies</w:t>
      </w:r>
      <w:r w:rsidR="00905A5F" w:rsidRPr="00670589">
        <w:rPr>
          <w:rFonts w:ascii="CMR10" w:eastAsia="Times New Roman" w:hAnsi="CMR10" w:cs="Times New Roman"/>
          <w:sz w:val="20"/>
          <w:szCs w:val="20"/>
        </w:rPr>
        <w:t>, thirteen</w:t>
      </w:r>
      <w:r w:rsidR="00717A61" w:rsidRPr="00670589">
        <w:rPr>
          <w:rFonts w:ascii="CMR10" w:eastAsia="Times New Roman" w:hAnsi="CMR10" w:cs="Times New Roman"/>
          <w:sz w:val="20"/>
          <w:szCs w:val="20"/>
        </w:rPr>
        <w:t xml:space="preserve"> International Space Elevator Consortium studies</w:t>
      </w:r>
      <w:r w:rsidR="00905A5F" w:rsidRPr="00670589">
        <w:rPr>
          <w:rFonts w:ascii="CMR10" w:eastAsia="Times New Roman" w:hAnsi="CMR10" w:cs="Times New Roman"/>
          <w:sz w:val="20"/>
          <w:szCs w:val="20"/>
        </w:rPr>
        <w:t xml:space="preserve">, and one corporate study conducted by Obayashi </w:t>
      </w:r>
      <w:r w:rsidR="00717A61" w:rsidRPr="00670589">
        <w:rPr>
          <w:rFonts w:ascii="CMR10" w:eastAsia="Times New Roman" w:hAnsi="CMR10" w:cs="Times New Roman"/>
          <w:sz w:val="20"/>
          <w:szCs w:val="20"/>
        </w:rPr>
        <w:t xml:space="preserve">summarizing the various critical aspects of </w:t>
      </w:r>
      <w:r w:rsidR="00D0395C" w:rsidRPr="00670589">
        <w:rPr>
          <w:rFonts w:ascii="CMR10" w:eastAsia="Times New Roman" w:hAnsi="CMR10" w:cs="Times New Roman"/>
          <w:sz w:val="20"/>
          <w:szCs w:val="20"/>
        </w:rPr>
        <w:t>Space Elevator</w:t>
      </w:r>
      <w:r w:rsidR="00717A61" w:rsidRPr="00670589">
        <w:rPr>
          <w:rFonts w:ascii="CMR10" w:eastAsia="Times New Roman" w:hAnsi="CMR10" w:cs="Times New Roman"/>
          <w:sz w:val="20"/>
          <w:szCs w:val="20"/>
        </w:rPr>
        <w:t xml:space="preserve"> development.  The </w:t>
      </w:r>
      <w:r w:rsidR="00905A5F" w:rsidRPr="00670589">
        <w:rPr>
          <w:rFonts w:ascii="CMR10" w:eastAsia="Times New Roman" w:hAnsi="CMR10" w:cs="Times New Roman"/>
          <w:sz w:val="20"/>
          <w:szCs w:val="20"/>
        </w:rPr>
        <w:t xml:space="preserve">first </w:t>
      </w:r>
      <w:r w:rsidR="00717A61" w:rsidRPr="00670589">
        <w:rPr>
          <w:rFonts w:ascii="CMR10" w:eastAsia="Times New Roman" w:hAnsi="CMR10" w:cs="Times New Roman"/>
          <w:sz w:val="20"/>
          <w:szCs w:val="20"/>
        </w:rPr>
        <w:t xml:space="preserve">chart shows these studies and </w:t>
      </w:r>
      <w:r w:rsidR="00905A5F" w:rsidRPr="00670589">
        <w:rPr>
          <w:rFonts w:ascii="CMR10" w:eastAsia="Times New Roman" w:hAnsi="CMR10" w:cs="Times New Roman"/>
          <w:sz w:val="20"/>
          <w:szCs w:val="20"/>
        </w:rPr>
        <w:t>where they reside</w:t>
      </w:r>
      <w:r w:rsidR="00717A61" w:rsidRPr="00670589">
        <w:rPr>
          <w:rFonts w:ascii="CMR10" w:eastAsia="Times New Roman" w:hAnsi="CMR10" w:cs="Times New Roman"/>
          <w:sz w:val="20"/>
          <w:szCs w:val="20"/>
        </w:rPr>
        <w:t xml:space="preserve">.  </w:t>
      </w:r>
      <w:r w:rsidR="00322A4C" w:rsidRPr="00670589">
        <w:rPr>
          <w:rFonts w:ascii="CMR10" w:eastAsia="Times New Roman" w:hAnsi="CMR10" w:cs="Times New Roman"/>
          <w:sz w:val="20"/>
          <w:szCs w:val="20"/>
        </w:rPr>
        <w:t xml:space="preserve">The key elements of these completed studies </w:t>
      </w:r>
      <w:proofErr w:type="gramStart"/>
      <w:r w:rsidR="00322A4C" w:rsidRPr="00670589">
        <w:rPr>
          <w:rFonts w:ascii="CMR10" w:eastAsia="Times New Roman" w:hAnsi="CMR10" w:cs="Times New Roman"/>
          <w:sz w:val="20"/>
          <w:szCs w:val="20"/>
        </w:rPr>
        <w:t>is</w:t>
      </w:r>
      <w:proofErr w:type="gramEnd"/>
      <w:r w:rsidR="00322A4C" w:rsidRPr="00670589">
        <w:rPr>
          <w:rFonts w:ascii="CMR10" w:eastAsia="Times New Roman" w:hAnsi="CMR10" w:cs="Times New Roman"/>
          <w:sz w:val="20"/>
          <w:szCs w:val="20"/>
        </w:rPr>
        <w:t xml:space="preserve"> that they all took the complexities of a mega-project development and evaluated them in engineering terminology.  The IAA study, “Space Elevator: An Assessment of the Technological Feasibility and the Way Forward,” resulted in the conclusion that the Space Elevator </w:t>
      </w:r>
      <w:r w:rsidR="00D0395C" w:rsidRPr="00670589">
        <w:rPr>
          <w:rFonts w:ascii="CMR10" w:eastAsia="Times New Roman" w:hAnsi="CMR10" w:cs="Times New Roman"/>
          <w:sz w:val="20"/>
          <w:szCs w:val="20"/>
        </w:rPr>
        <w:t>is</w:t>
      </w:r>
      <w:r w:rsidR="00322A4C" w:rsidRPr="00670589">
        <w:rPr>
          <w:rFonts w:ascii="CMR10" w:eastAsia="Times New Roman" w:hAnsi="CMR10" w:cs="Times New Roman"/>
          <w:sz w:val="20"/>
          <w:szCs w:val="20"/>
        </w:rPr>
        <w:t xml:space="preserve"> feasible with the recognition that the tether material was the “long pole in the tent.”  Now that the 2D material revolution is occurring</w:t>
      </w:r>
      <w:r w:rsidR="00D0395C" w:rsidRPr="00670589">
        <w:rPr>
          <w:rFonts w:ascii="CMR10" w:eastAsia="Times New Roman" w:hAnsi="CMR10" w:cs="Times New Roman"/>
          <w:sz w:val="20"/>
          <w:szCs w:val="20"/>
        </w:rPr>
        <w:t xml:space="preserve"> – </w:t>
      </w:r>
      <w:r w:rsidR="00322A4C" w:rsidRPr="00670589">
        <w:rPr>
          <w:rFonts w:ascii="CMR10" w:eastAsia="Times New Roman" w:hAnsi="CMR10" w:cs="Times New Roman"/>
          <w:sz w:val="20"/>
          <w:szCs w:val="20"/>
        </w:rPr>
        <w:t xml:space="preserve">there is a material for the Space Elevator tether that will be long enough and strong enough by the point in development </w:t>
      </w:r>
      <w:r w:rsidR="00D0395C" w:rsidRPr="00670589">
        <w:rPr>
          <w:rFonts w:ascii="CMR10" w:eastAsia="Times New Roman" w:hAnsi="CMR10" w:cs="Times New Roman"/>
          <w:sz w:val="20"/>
          <w:szCs w:val="20"/>
        </w:rPr>
        <w:t>when</w:t>
      </w:r>
      <w:r w:rsidR="00322A4C" w:rsidRPr="00670589">
        <w:rPr>
          <w:rFonts w:ascii="CMR10" w:eastAsia="Times New Roman" w:hAnsi="CMR10" w:cs="Times New Roman"/>
          <w:sz w:val="20"/>
          <w:szCs w:val="20"/>
        </w:rPr>
        <w:t xml:space="preserve"> it is needed for testing.  This recognition that the program could be initiated encouraged the International Space Elevator Consortium to focus upon this conclusion and break the process down into sequences and phases of development.  The Study report entitled Space Elevator Architectures and Roadmaps laid out the process and path forward to development of the permanent space access architecture.  This process has been followed since that time period and has led to several conclusions:</w:t>
      </w:r>
    </w:p>
    <w:p w14:paraId="5AFC0300" w14:textId="4D38C4EB" w:rsidR="00322A4C" w:rsidRPr="00670589" w:rsidRDefault="00322A4C" w:rsidP="00322A4C">
      <w:pPr>
        <w:pStyle w:val="ListParagraph"/>
        <w:numPr>
          <w:ilvl w:val="0"/>
          <w:numId w:val="15"/>
        </w:numPr>
        <w:rPr>
          <w:rFonts w:ascii="CMR10" w:eastAsia="Times New Roman" w:hAnsi="CMR10" w:cs="Times New Roman"/>
          <w:color w:val="auto"/>
          <w:sz w:val="20"/>
          <w:szCs w:val="20"/>
          <w:bdr w:val="none" w:sz="0" w:space="0" w:color="auto"/>
        </w:rPr>
      </w:pPr>
      <w:r w:rsidRPr="00670589">
        <w:rPr>
          <w:rFonts w:ascii="CMR10" w:eastAsia="Times New Roman" w:hAnsi="CMR10" w:cs="Times New Roman"/>
          <w:color w:val="auto"/>
          <w:sz w:val="20"/>
          <w:szCs w:val="20"/>
          <w:bdr w:val="none" w:sz="0" w:space="0" w:color="auto"/>
        </w:rPr>
        <w:lastRenderedPageBreak/>
        <w:t>The Space Elevator is Closer than you think</w:t>
      </w:r>
    </w:p>
    <w:p w14:paraId="15E74DD4" w14:textId="0F74B3C3" w:rsidR="00322A4C" w:rsidRPr="00670589" w:rsidRDefault="00322A4C" w:rsidP="00322A4C">
      <w:pPr>
        <w:pStyle w:val="ListParagraph"/>
        <w:numPr>
          <w:ilvl w:val="0"/>
          <w:numId w:val="15"/>
        </w:numPr>
        <w:rPr>
          <w:rFonts w:ascii="CMR10" w:eastAsia="Times New Roman" w:hAnsi="CMR10" w:cs="Times New Roman"/>
          <w:color w:val="auto"/>
          <w:sz w:val="20"/>
          <w:szCs w:val="20"/>
          <w:bdr w:val="none" w:sz="0" w:space="0" w:color="auto"/>
        </w:rPr>
      </w:pPr>
      <w:r w:rsidRPr="00670589">
        <w:rPr>
          <w:rFonts w:ascii="CMR10" w:eastAsia="Times New Roman" w:hAnsi="CMR10" w:cs="Times New Roman"/>
          <w:color w:val="auto"/>
          <w:sz w:val="20"/>
          <w:szCs w:val="20"/>
          <w:bdr w:val="none" w:sz="0" w:space="0" w:color="auto"/>
        </w:rPr>
        <w:t xml:space="preserve">The </w:t>
      </w:r>
      <w:r w:rsidR="005F5973" w:rsidRPr="00670589">
        <w:rPr>
          <w:rFonts w:ascii="CMR10" w:eastAsia="Times New Roman" w:hAnsi="CMR10" w:cs="Times New Roman"/>
          <w:color w:val="auto"/>
          <w:sz w:val="20"/>
          <w:szCs w:val="20"/>
          <w:bdr w:val="none" w:sz="0" w:space="0" w:color="auto"/>
        </w:rPr>
        <w:t>tether m</w:t>
      </w:r>
      <w:r w:rsidRPr="00670589">
        <w:rPr>
          <w:rFonts w:ascii="CMR10" w:eastAsia="Times New Roman" w:hAnsi="CMR10" w:cs="Times New Roman"/>
          <w:color w:val="auto"/>
          <w:sz w:val="20"/>
          <w:szCs w:val="20"/>
          <w:bdr w:val="none" w:sz="0" w:space="0" w:color="auto"/>
        </w:rPr>
        <w:t>aterial has been shown to be available in time for first operations</w:t>
      </w:r>
    </w:p>
    <w:p w14:paraId="03E78668" w14:textId="0B20F45E" w:rsidR="00322A4C" w:rsidRPr="00670589" w:rsidRDefault="00322A4C" w:rsidP="00322A4C">
      <w:pPr>
        <w:pStyle w:val="ListParagraph"/>
        <w:numPr>
          <w:ilvl w:val="0"/>
          <w:numId w:val="15"/>
        </w:numPr>
        <w:rPr>
          <w:rFonts w:ascii="CMR10" w:eastAsia="Times New Roman" w:hAnsi="CMR10" w:cs="Times New Roman"/>
          <w:color w:val="auto"/>
          <w:sz w:val="20"/>
          <w:szCs w:val="20"/>
          <w:bdr w:val="none" w:sz="0" w:space="0" w:color="auto"/>
        </w:rPr>
      </w:pPr>
      <w:r w:rsidRPr="00670589">
        <w:rPr>
          <w:rFonts w:ascii="CMR10" w:eastAsia="Times New Roman" w:hAnsi="CMR10" w:cs="Times New Roman"/>
          <w:color w:val="auto"/>
          <w:sz w:val="20"/>
          <w:szCs w:val="20"/>
          <w:bdr w:val="none" w:sz="0" w:space="0" w:color="auto"/>
        </w:rPr>
        <w:t>There is an engineering roadmap to follow to fulfill the vision</w:t>
      </w:r>
    </w:p>
    <w:p w14:paraId="0A4B7A4A" w14:textId="5AB4C112" w:rsidR="005F5973" w:rsidRPr="00670589" w:rsidRDefault="005F5973" w:rsidP="00322A4C">
      <w:pPr>
        <w:pStyle w:val="ListParagraph"/>
        <w:numPr>
          <w:ilvl w:val="0"/>
          <w:numId w:val="15"/>
        </w:numPr>
        <w:rPr>
          <w:rFonts w:ascii="CMR10" w:eastAsia="Times New Roman" w:hAnsi="CMR10" w:cs="Times New Roman"/>
          <w:color w:val="auto"/>
          <w:sz w:val="20"/>
          <w:szCs w:val="20"/>
          <w:bdr w:val="none" w:sz="0" w:space="0" w:color="auto"/>
        </w:rPr>
      </w:pPr>
      <w:r w:rsidRPr="00670589">
        <w:rPr>
          <w:rFonts w:ascii="CMR10" w:eastAsia="Times New Roman" w:hAnsi="CMR10" w:cs="Times New Roman"/>
          <w:color w:val="auto"/>
          <w:sz w:val="20"/>
          <w:szCs w:val="20"/>
          <w:bdr w:val="none" w:sz="0" w:space="0" w:color="auto"/>
        </w:rPr>
        <w:t>The Space Elevator will be a permanent transportation infrastructure t</w:t>
      </w:r>
      <w:r w:rsidR="00355138" w:rsidRPr="00670589">
        <w:rPr>
          <w:rFonts w:ascii="CMR10" w:eastAsia="Times New Roman" w:hAnsi="CMR10" w:cs="Times New Roman"/>
          <w:color w:val="auto"/>
          <w:sz w:val="20"/>
          <w:szCs w:val="20"/>
          <w:bdr w:val="none" w:sz="0" w:space="0" w:color="auto"/>
        </w:rPr>
        <w:t>y</w:t>
      </w:r>
      <w:r w:rsidRPr="00670589">
        <w:rPr>
          <w:rFonts w:ascii="CMR10" w:eastAsia="Times New Roman" w:hAnsi="CMR10" w:cs="Times New Roman"/>
          <w:color w:val="auto"/>
          <w:sz w:val="20"/>
          <w:szCs w:val="20"/>
          <w:bdr w:val="none" w:sz="0" w:space="0" w:color="auto"/>
        </w:rPr>
        <w:t xml:space="preserve">ing the Earth to Geosynchronous and beyond by moving heavy cargo daily, routinely, inexpensively, safely and environmentally friendly.  </w:t>
      </w:r>
    </w:p>
    <w:p w14:paraId="11D59D46" w14:textId="77777777" w:rsidR="00322A4C" w:rsidRPr="00670589" w:rsidRDefault="00322A4C" w:rsidP="00833679">
      <w:pPr>
        <w:rPr>
          <w:rFonts w:ascii="CMR10" w:eastAsia="Times New Roman" w:hAnsi="CMR10" w:cs="Times New Roman"/>
          <w:sz w:val="20"/>
          <w:szCs w:val="20"/>
        </w:rPr>
      </w:pPr>
    </w:p>
    <w:p w14:paraId="43A7A716" w14:textId="4A5B0FC8" w:rsidR="00C64F9F" w:rsidRPr="00670589" w:rsidRDefault="00322A4C" w:rsidP="00786B84">
      <w:pPr>
        <w:rPr>
          <w:rFonts w:ascii="CMR10" w:eastAsia="Times New Roman" w:hAnsi="CMR10" w:cs="Times New Roman"/>
          <w:sz w:val="20"/>
          <w:szCs w:val="20"/>
        </w:rPr>
      </w:pPr>
      <w:r w:rsidRPr="00670589">
        <w:rPr>
          <w:rFonts w:ascii="CMR10" w:eastAsia="Times New Roman" w:hAnsi="CMR10" w:cs="Times New Roman"/>
          <w:sz w:val="20"/>
          <w:szCs w:val="20"/>
        </w:rPr>
        <w:t>The other reports from these various studies support the conclusion that indeed Space Elevators are ready to proceed into En</w:t>
      </w:r>
      <w:r w:rsidR="00355138" w:rsidRPr="00670589">
        <w:rPr>
          <w:rFonts w:ascii="CMR10" w:eastAsia="Times New Roman" w:hAnsi="CMR10" w:cs="Times New Roman"/>
          <w:sz w:val="20"/>
          <w:szCs w:val="20"/>
        </w:rPr>
        <w:t>g</w:t>
      </w:r>
      <w:r w:rsidRPr="00670589">
        <w:rPr>
          <w:rFonts w:ascii="CMR10" w:eastAsia="Times New Roman" w:hAnsi="CMR10" w:cs="Times New Roman"/>
          <w:sz w:val="20"/>
          <w:szCs w:val="20"/>
        </w:rPr>
        <w:t>ineering Validation phase of the program.</w:t>
      </w:r>
    </w:p>
    <w:p w14:paraId="6C6E9540" w14:textId="6960A14C" w:rsidR="00322A4C" w:rsidRDefault="00322A4C" w:rsidP="00786B84">
      <w:pPr>
        <w:rPr>
          <w:rFonts w:asciiTheme="majorHAnsi" w:eastAsia="Times New Roman" w:hAnsiTheme="majorHAnsi"/>
        </w:rPr>
      </w:pPr>
    </w:p>
    <w:p w14:paraId="3B18D3ED" w14:textId="5348D296" w:rsidR="00322A4C" w:rsidRDefault="00322A4C" w:rsidP="00322A4C">
      <w:pPr>
        <w:jc w:val="center"/>
        <w:rPr>
          <w:rFonts w:asciiTheme="majorHAnsi" w:eastAsia="Times New Roman" w:hAnsiTheme="majorHAnsi"/>
        </w:rPr>
      </w:pPr>
      <w:r>
        <w:rPr>
          <w:rFonts w:asciiTheme="majorHAnsi" w:eastAsia="Times New Roman" w:hAnsiTheme="majorHAnsi"/>
        </w:rPr>
        <w:t>Table 1:  Space Elevator Study Reports</w:t>
      </w:r>
    </w:p>
    <w:p w14:paraId="3F3FF3EC" w14:textId="35AC4830" w:rsidR="00146207" w:rsidRDefault="00905A5F" w:rsidP="00786B84">
      <w:pPr>
        <w:rPr>
          <w:rFonts w:asciiTheme="majorHAnsi" w:eastAsia="Times New Roman" w:hAnsiTheme="majorHAnsi"/>
        </w:rPr>
      </w:pPr>
      <w:r w:rsidRPr="00905A5F">
        <w:rPr>
          <w:rFonts w:asciiTheme="majorHAnsi" w:eastAsia="Times New Roman" w:hAnsiTheme="majorHAnsi"/>
          <w:noProof/>
        </w:rPr>
        <w:drawing>
          <wp:inline distT="0" distB="0" distL="0" distR="0" wp14:anchorId="53B1F271" wp14:editId="01FBD879">
            <wp:extent cx="5486400" cy="3574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574415"/>
                    </a:xfrm>
                    <a:prstGeom prst="rect">
                      <a:avLst/>
                    </a:prstGeom>
                  </pic:spPr>
                </pic:pic>
              </a:graphicData>
            </a:graphic>
          </wp:inline>
        </w:drawing>
      </w:r>
    </w:p>
    <w:p w14:paraId="2D5A360D" w14:textId="77777777" w:rsidR="00905A5F" w:rsidRPr="001D6347" w:rsidRDefault="00905A5F" w:rsidP="00786B84">
      <w:pPr>
        <w:rPr>
          <w:rFonts w:asciiTheme="majorHAnsi" w:eastAsia="Times New Roman" w:hAnsiTheme="majorHAnsi"/>
        </w:rPr>
      </w:pPr>
    </w:p>
    <w:p w14:paraId="743C7B14" w14:textId="20F0505F" w:rsidR="00C64F9F" w:rsidRPr="00670589" w:rsidRDefault="009B6FA9" w:rsidP="00833679">
      <w:pPr>
        <w:rPr>
          <w:rFonts w:ascii="CMR10" w:eastAsia="Times New Roman" w:hAnsi="CMR10" w:cs="Times New Roman"/>
          <w:sz w:val="20"/>
          <w:szCs w:val="20"/>
        </w:rPr>
      </w:pPr>
      <w:r>
        <w:rPr>
          <w:rFonts w:eastAsia="Times New Roman"/>
          <w:b/>
          <w:i/>
          <w:iCs/>
        </w:rPr>
        <w:t>1</w:t>
      </w:r>
      <w:r w:rsidR="001D6347" w:rsidRPr="001D6347">
        <w:rPr>
          <w:rFonts w:eastAsia="Times New Roman"/>
          <w:b/>
          <w:i/>
          <w:iCs/>
        </w:rPr>
        <w:t>.</w:t>
      </w:r>
      <w:r>
        <w:rPr>
          <w:rFonts w:eastAsia="Times New Roman"/>
          <w:b/>
          <w:i/>
          <w:iCs/>
        </w:rPr>
        <w:t>2</w:t>
      </w:r>
      <w:r w:rsidR="001D6347" w:rsidRPr="001D6347">
        <w:rPr>
          <w:rFonts w:eastAsia="Times New Roman"/>
          <w:b/>
          <w:i/>
          <w:iCs/>
        </w:rPr>
        <w:tab/>
      </w:r>
      <w:r w:rsidR="00B46501">
        <w:rPr>
          <w:rFonts w:eastAsia="Times New Roman"/>
          <w:b/>
          <w:i/>
          <w:iCs/>
        </w:rPr>
        <w:t>Architecture and Roadmap</w:t>
      </w:r>
      <w:r w:rsidR="001D6347" w:rsidRPr="001D6347">
        <w:rPr>
          <w:rFonts w:eastAsia="Times New Roman"/>
          <w:b/>
          <w:i/>
          <w:iCs/>
        </w:rPr>
        <w:t>:</w:t>
      </w:r>
      <w:r w:rsidR="001D6347" w:rsidRPr="001D6347">
        <w:rPr>
          <w:rFonts w:asciiTheme="majorHAnsi" w:eastAsia="Times New Roman" w:hAnsiTheme="majorHAnsi"/>
        </w:rPr>
        <w:tab/>
      </w:r>
      <w:r w:rsidR="001D6347" w:rsidRPr="001D6347">
        <w:rPr>
          <w:rFonts w:asciiTheme="majorHAnsi" w:eastAsia="Times New Roman" w:hAnsiTheme="majorHAnsi"/>
        </w:rPr>
        <w:tab/>
      </w:r>
      <w:r w:rsidR="00E910DA" w:rsidRPr="00670589">
        <w:rPr>
          <w:rFonts w:ascii="CMR10" w:eastAsia="Times New Roman" w:hAnsi="CMR10" w:cs="Times New Roman"/>
          <w:sz w:val="20"/>
          <w:szCs w:val="20"/>
        </w:rPr>
        <w:t>The first IAA study showed the way forward with an engineering plan.</w:t>
      </w:r>
      <w:r w:rsidR="00B46501" w:rsidRPr="00670589">
        <w:rPr>
          <w:rFonts w:ascii="CMR10" w:eastAsia="Times New Roman" w:hAnsi="CMR10" w:cs="Times New Roman"/>
          <w:sz w:val="20"/>
          <w:szCs w:val="20"/>
        </w:rPr>
        <w:t xml:space="preserve">  </w:t>
      </w:r>
      <w:r w:rsidR="00E910DA" w:rsidRPr="00670589">
        <w:rPr>
          <w:rFonts w:ascii="CMR10" w:eastAsia="Times New Roman" w:hAnsi="CMR10" w:cs="Times New Roman"/>
          <w:sz w:val="20"/>
          <w:szCs w:val="20"/>
        </w:rPr>
        <w:t>The conclusions from that report</w:t>
      </w:r>
      <w:r w:rsidR="00B7120A" w:rsidRPr="00670589">
        <w:rPr>
          <w:rFonts w:ascii="CMR10" w:hAnsi="CMR10" w:cs="Times New Roman"/>
          <w:sz w:val="20"/>
          <w:szCs w:val="20"/>
        </w:rPr>
        <w:footnoteReference w:id="1"/>
      </w:r>
      <w:r w:rsidR="00E910DA" w:rsidRPr="00670589">
        <w:rPr>
          <w:rFonts w:ascii="CMR10" w:eastAsia="Times New Roman" w:hAnsi="CMR10" w:cs="Times New Roman"/>
          <w:sz w:val="20"/>
          <w:szCs w:val="20"/>
        </w:rPr>
        <w:t xml:space="preserve"> are:</w:t>
      </w:r>
    </w:p>
    <w:p w14:paraId="37A9A2EB" w14:textId="47119273" w:rsidR="00B7120A" w:rsidRPr="00670589" w:rsidRDefault="00B7120A" w:rsidP="00833679">
      <w:pPr>
        <w:rPr>
          <w:rFonts w:ascii="CMR10" w:eastAsia="Times New Roman" w:hAnsi="CMR10" w:cs="Times New Roman"/>
          <w:sz w:val="20"/>
          <w:szCs w:val="20"/>
        </w:rPr>
      </w:pPr>
    </w:p>
    <w:p w14:paraId="082C11D5" w14:textId="474477CB" w:rsidR="00B7120A" w:rsidRPr="00255CB4" w:rsidRDefault="00B7120A" w:rsidP="00255CB4">
      <w:pPr>
        <w:pStyle w:val="ListParagraph"/>
        <w:numPr>
          <w:ilvl w:val="0"/>
          <w:numId w:val="31"/>
        </w:numPr>
        <w:rPr>
          <w:rFonts w:ascii="CMR10" w:eastAsia="Times New Roman" w:hAnsi="CMR10" w:cs="Times New Roman"/>
          <w:sz w:val="20"/>
          <w:szCs w:val="20"/>
        </w:rPr>
      </w:pPr>
      <w:r w:rsidRPr="00255CB4">
        <w:rPr>
          <w:rFonts w:ascii="CMR10" w:eastAsia="Times New Roman" w:hAnsi="CMR10" w:cs="Times New Roman"/>
          <w:sz w:val="20"/>
          <w:szCs w:val="20"/>
        </w:rPr>
        <w:t>The Space Elevator appears feasible, with the realization that risks must be mitigated through technological progress.</w:t>
      </w:r>
    </w:p>
    <w:p w14:paraId="28B49185" w14:textId="0772AC99" w:rsidR="00B7120A" w:rsidRPr="00255CB4" w:rsidRDefault="00B7120A" w:rsidP="00255CB4">
      <w:pPr>
        <w:pStyle w:val="ListParagraph"/>
        <w:numPr>
          <w:ilvl w:val="0"/>
          <w:numId w:val="31"/>
        </w:numPr>
        <w:rPr>
          <w:rFonts w:ascii="CMR10" w:eastAsia="Times New Roman" w:hAnsi="CMR10" w:cs="Times New Roman"/>
          <w:sz w:val="20"/>
          <w:szCs w:val="20"/>
        </w:rPr>
      </w:pPr>
      <w:r w:rsidRPr="00255CB4">
        <w:rPr>
          <w:rFonts w:ascii="CMR10" w:eastAsia="Times New Roman" w:hAnsi="CMR10" w:cs="Times New Roman"/>
          <w:sz w:val="20"/>
          <w:szCs w:val="20"/>
        </w:rPr>
        <w:t>A Space Elevator infrastructure will be achievable through a major global enterprise.</w:t>
      </w:r>
    </w:p>
    <w:p w14:paraId="6144FE46" w14:textId="7A91F691" w:rsidR="00E910DA" w:rsidRPr="00670589" w:rsidRDefault="00E910DA" w:rsidP="00833679">
      <w:pPr>
        <w:rPr>
          <w:rFonts w:ascii="CMR10" w:eastAsia="Times New Roman" w:hAnsi="CMR10" w:cs="Times New Roman"/>
          <w:sz w:val="20"/>
          <w:szCs w:val="20"/>
        </w:rPr>
      </w:pPr>
    </w:p>
    <w:p w14:paraId="4C8D4852" w14:textId="0C632CB4" w:rsidR="00B7120A" w:rsidRPr="00670589" w:rsidRDefault="00B7120A" w:rsidP="00B7120A">
      <w:pPr>
        <w:rPr>
          <w:rFonts w:ascii="CMR10" w:eastAsia="Times New Roman" w:hAnsi="CMR10" w:cs="Times New Roman"/>
          <w:sz w:val="20"/>
          <w:szCs w:val="20"/>
        </w:rPr>
      </w:pPr>
      <w:r w:rsidRPr="00670589">
        <w:rPr>
          <w:rFonts w:ascii="CMR10" w:eastAsia="Times New Roman" w:hAnsi="CMR10" w:cs="Times New Roman"/>
          <w:sz w:val="20"/>
          <w:szCs w:val="20"/>
        </w:rPr>
        <w:t>In addition, the ISEC study entitled Space Elevator Architecture and Roadmaps</w:t>
      </w:r>
      <w:r w:rsidRPr="00670589">
        <w:rPr>
          <w:rFonts w:ascii="CMR10" w:hAnsi="CMR10" w:cs="Times New Roman"/>
          <w:sz w:val="20"/>
          <w:szCs w:val="20"/>
        </w:rPr>
        <w:footnoteReference w:id="2"/>
      </w:r>
      <w:r w:rsidRPr="00670589">
        <w:rPr>
          <w:rFonts w:ascii="CMR10" w:eastAsia="Times New Roman" w:hAnsi="CMR10" w:cs="Times New Roman"/>
          <w:sz w:val="20"/>
          <w:szCs w:val="20"/>
        </w:rPr>
        <w:t xml:space="preserve"> recommends:   </w:t>
      </w:r>
    </w:p>
    <w:p w14:paraId="0F07025A" w14:textId="77777777" w:rsidR="00B7120A" w:rsidRPr="00670589" w:rsidRDefault="00B7120A" w:rsidP="00670589">
      <w:pPr>
        <w:pStyle w:val="ListParagraph"/>
        <w:numPr>
          <w:ilvl w:val="0"/>
          <w:numId w:val="26"/>
        </w:numPr>
        <w:rPr>
          <w:rFonts w:ascii="CMR10" w:eastAsia="Times New Roman" w:hAnsi="CMR10" w:cs="Times New Roman"/>
          <w:sz w:val="20"/>
          <w:szCs w:val="20"/>
        </w:rPr>
      </w:pPr>
      <w:r w:rsidRPr="00670589">
        <w:rPr>
          <w:rFonts w:ascii="CMR10" w:eastAsia="Times New Roman" w:hAnsi="CMR10" w:cs="Times New Roman"/>
          <w:sz w:val="20"/>
          <w:szCs w:val="20"/>
        </w:rPr>
        <w:t>Initiate the development, test and validation of a “high fidelity model” representing a space elevator system.</w:t>
      </w:r>
    </w:p>
    <w:p w14:paraId="1AF1DCFC" w14:textId="77777777" w:rsidR="00B7120A" w:rsidRPr="00670589" w:rsidRDefault="00B7120A" w:rsidP="00670589">
      <w:pPr>
        <w:pStyle w:val="ListParagraph"/>
        <w:numPr>
          <w:ilvl w:val="0"/>
          <w:numId w:val="26"/>
        </w:numPr>
        <w:rPr>
          <w:rFonts w:ascii="CMR10" w:eastAsia="Times New Roman" w:hAnsi="CMR10" w:cs="Times New Roman"/>
          <w:sz w:val="20"/>
          <w:szCs w:val="20"/>
        </w:rPr>
      </w:pPr>
      <w:r w:rsidRPr="00670589">
        <w:rPr>
          <w:rFonts w:ascii="CMR10" w:eastAsia="Times New Roman" w:hAnsi="CMR10" w:cs="Times New Roman"/>
          <w:sz w:val="20"/>
          <w:szCs w:val="20"/>
        </w:rPr>
        <w:t xml:space="preserve">Endorse the current ISEC Research Plan [see at </w:t>
      </w:r>
      <w:hyperlink r:id="rId10" w:history="1">
        <w:r w:rsidRPr="00670589">
          <w:rPr>
            <w:rFonts w:ascii="CMR10" w:eastAsia="Times New Roman" w:hAnsi="CMR10" w:cs="Times New Roman"/>
            <w:color w:val="auto"/>
            <w:sz w:val="20"/>
            <w:szCs w:val="20"/>
          </w:rPr>
          <w:t>www.isec.org</w:t>
        </w:r>
      </w:hyperlink>
      <w:r w:rsidRPr="00670589">
        <w:rPr>
          <w:rFonts w:ascii="CMR10" w:eastAsia="Times New Roman" w:hAnsi="CMR10" w:cs="Times New Roman"/>
          <w:sz w:val="20"/>
          <w:szCs w:val="20"/>
        </w:rPr>
        <w:t>].</w:t>
      </w:r>
    </w:p>
    <w:p w14:paraId="4BB7826B" w14:textId="77777777" w:rsidR="00B7120A" w:rsidRPr="00670589" w:rsidRDefault="00B7120A" w:rsidP="00670589">
      <w:pPr>
        <w:pStyle w:val="ListParagraph"/>
        <w:numPr>
          <w:ilvl w:val="0"/>
          <w:numId w:val="26"/>
        </w:numPr>
        <w:rPr>
          <w:rFonts w:ascii="CMR10" w:eastAsia="Times New Roman" w:hAnsi="CMR10" w:cs="Times New Roman"/>
          <w:sz w:val="20"/>
          <w:szCs w:val="20"/>
        </w:rPr>
      </w:pPr>
      <w:r w:rsidRPr="00670589">
        <w:rPr>
          <w:rFonts w:ascii="CMR10" w:eastAsia="Times New Roman" w:hAnsi="CMR10" w:cs="Times New Roman"/>
          <w:sz w:val="20"/>
          <w:szCs w:val="20"/>
        </w:rPr>
        <w:t>Engage in an active program to address the top five Grand Challenges discussed in this study report:</w:t>
      </w:r>
    </w:p>
    <w:p w14:paraId="5A1318AA" w14:textId="77777777" w:rsidR="00B7120A" w:rsidRPr="00670589" w:rsidRDefault="00B7120A" w:rsidP="00670589">
      <w:pPr>
        <w:pStyle w:val="ListParagraph"/>
        <w:numPr>
          <w:ilvl w:val="0"/>
          <w:numId w:val="26"/>
        </w:numPr>
        <w:rPr>
          <w:rFonts w:ascii="CMR10" w:eastAsia="Times New Roman" w:hAnsi="CMR10" w:cs="Times New Roman"/>
          <w:sz w:val="20"/>
          <w:szCs w:val="20"/>
        </w:rPr>
      </w:pPr>
      <w:r w:rsidRPr="00670589">
        <w:rPr>
          <w:rFonts w:ascii="CMR10" w:eastAsia="Times New Roman" w:hAnsi="CMR10" w:cs="Times New Roman"/>
          <w:sz w:val="20"/>
          <w:szCs w:val="20"/>
        </w:rPr>
        <w:lastRenderedPageBreak/>
        <w:t>High Fidelity Dynamics Modeling of the Tether as a system from the Marine Node to the Apex Anchor with GEO Node and tether climbers.</w:t>
      </w:r>
    </w:p>
    <w:p w14:paraId="29A60AC6" w14:textId="77777777" w:rsidR="00B7120A" w:rsidRPr="00670589" w:rsidRDefault="00B7120A" w:rsidP="00670589">
      <w:pPr>
        <w:pStyle w:val="ListParagraph"/>
        <w:numPr>
          <w:ilvl w:val="0"/>
          <w:numId w:val="26"/>
        </w:numPr>
        <w:rPr>
          <w:rFonts w:ascii="CMR10" w:eastAsia="Times New Roman" w:hAnsi="CMR10" w:cs="Times New Roman"/>
          <w:sz w:val="20"/>
          <w:szCs w:val="20"/>
        </w:rPr>
      </w:pPr>
      <w:r w:rsidRPr="00670589">
        <w:rPr>
          <w:rFonts w:ascii="CMR10" w:eastAsia="Times New Roman" w:hAnsi="CMR10" w:cs="Times New Roman"/>
          <w:sz w:val="20"/>
          <w:szCs w:val="20"/>
        </w:rPr>
        <w:t>Understand, measure, and improve the tensile strength of new materials with promise as future space elevator tethers.</w:t>
      </w:r>
    </w:p>
    <w:p w14:paraId="61F81FAD" w14:textId="77777777" w:rsidR="00B7120A" w:rsidRPr="00670589" w:rsidRDefault="00B7120A" w:rsidP="00670589">
      <w:pPr>
        <w:pStyle w:val="ListParagraph"/>
        <w:numPr>
          <w:ilvl w:val="0"/>
          <w:numId w:val="26"/>
        </w:numPr>
        <w:rPr>
          <w:rFonts w:ascii="CMR10" w:eastAsia="Times New Roman" w:hAnsi="CMR10" w:cs="Times New Roman"/>
          <w:sz w:val="20"/>
          <w:szCs w:val="20"/>
        </w:rPr>
      </w:pPr>
      <w:r w:rsidRPr="00670589">
        <w:rPr>
          <w:rFonts w:ascii="CMR10" w:eastAsia="Times New Roman" w:hAnsi="CMR10" w:cs="Times New Roman"/>
          <w:sz w:val="20"/>
          <w:szCs w:val="20"/>
        </w:rPr>
        <w:t>Study, design and test potential approaches for the gripping mechanism for tether climbers to move along the tether’s 100,000 km length.</w:t>
      </w:r>
    </w:p>
    <w:p w14:paraId="06E41036" w14:textId="77777777" w:rsidR="00B7120A" w:rsidRPr="00670589" w:rsidRDefault="00B7120A" w:rsidP="00670589">
      <w:pPr>
        <w:pStyle w:val="ListParagraph"/>
        <w:numPr>
          <w:ilvl w:val="0"/>
          <w:numId w:val="26"/>
        </w:numPr>
        <w:rPr>
          <w:rFonts w:ascii="CMR10" w:eastAsia="Times New Roman" w:hAnsi="CMR10" w:cs="Times New Roman"/>
          <w:sz w:val="20"/>
          <w:szCs w:val="20"/>
        </w:rPr>
      </w:pPr>
      <w:r w:rsidRPr="00670589">
        <w:rPr>
          <w:rFonts w:ascii="CMR10" w:eastAsia="Times New Roman" w:hAnsi="CMR10" w:cs="Times New Roman"/>
          <w:sz w:val="20"/>
          <w:szCs w:val="20"/>
        </w:rPr>
        <w:t xml:space="preserve">Study robotic Apex Anchor functions with the anticipation that they will lead to a complex satellite.  This should include the concern of operating and maintaining the Apex Anchor at a distance of 100,000 kms. </w:t>
      </w:r>
    </w:p>
    <w:p w14:paraId="764E8B5B" w14:textId="77777777" w:rsidR="00B7120A" w:rsidRPr="00670589" w:rsidRDefault="00B7120A" w:rsidP="00670589">
      <w:pPr>
        <w:pStyle w:val="ListParagraph"/>
        <w:numPr>
          <w:ilvl w:val="0"/>
          <w:numId w:val="26"/>
        </w:numPr>
        <w:rPr>
          <w:rFonts w:ascii="CMR10" w:eastAsia="Times New Roman" w:hAnsi="CMR10" w:cs="Times New Roman"/>
          <w:sz w:val="20"/>
          <w:szCs w:val="20"/>
        </w:rPr>
      </w:pPr>
      <w:r w:rsidRPr="00670589">
        <w:rPr>
          <w:rFonts w:ascii="CMR10" w:eastAsia="Times New Roman" w:hAnsi="CMR10" w:cs="Times New Roman"/>
          <w:sz w:val="20"/>
          <w:szCs w:val="20"/>
        </w:rPr>
        <w:t xml:space="preserve">Understand and design approaches for power to the tether climber for the hazardous first 40 km inside the atmosphere.   </w:t>
      </w:r>
    </w:p>
    <w:p w14:paraId="0A44777F" w14:textId="11B7A693" w:rsidR="00B7120A" w:rsidRDefault="00B7120A" w:rsidP="00B7120A">
      <w:pPr>
        <w:rPr>
          <w:rFonts w:asciiTheme="majorHAnsi" w:eastAsia="Times New Roman" w:hAnsiTheme="majorHAnsi"/>
        </w:rPr>
      </w:pPr>
    </w:p>
    <w:p w14:paraId="67A06D2B" w14:textId="4D7E0941" w:rsidR="00E910DA" w:rsidRDefault="00255CB4" w:rsidP="00833679">
      <w:pPr>
        <w:rPr>
          <w:rFonts w:asciiTheme="majorHAnsi" w:eastAsia="Times New Roman" w:hAnsiTheme="majorHAnsi"/>
        </w:rPr>
      </w:pPr>
      <w:r>
        <w:rPr>
          <w:rFonts w:asciiTheme="majorHAnsi" w:eastAsia="Times New Roman" w:hAnsiTheme="majorHAnsi"/>
          <w:noProof/>
        </w:rPr>
        <w:drawing>
          <wp:anchor distT="0" distB="0" distL="114300" distR="114300" simplePos="0" relativeHeight="251659264" behindDoc="0" locked="0" layoutInCell="1" allowOverlap="1" wp14:anchorId="2032925E" wp14:editId="2D4FC21B">
            <wp:simplePos x="0" y="0"/>
            <wp:positionH relativeFrom="margin">
              <wp:posOffset>0</wp:posOffset>
            </wp:positionH>
            <wp:positionV relativeFrom="margin">
              <wp:posOffset>1924050</wp:posOffset>
            </wp:positionV>
            <wp:extent cx="2790825" cy="5975350"/>
            <wp:effectExtent l="0" t="0" r="317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597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0DA">
        <w:rPr>
          <w:rFonts w:eastAsia="Times New Roman"/>
          <w:b/>
          <w:i/>
          <w:iCs/>
        </w:rPr>
        <w:t>1</w:t>
      </w:r>
      <w:r w:rsidR="00E910DA" w:rsidRPr="001D6347">
        <w:rPr>
          <w:rFonts w:eastAsia="Times New Roman"/>
          <w:b/>
          <w:i/>
          <w:iCs/>
        </w:rPr>
        <w:t>.</w:t>
      </w:r>
      <w:r w:rsidR="00E910DA">
        <w:rPr>
          <w:rFonts w:eastAsia="Times New Roman"/>
          <w:b/>
          <w:i/>
          <w:iCs/>
        </w:rPr>
        <w:t>3</w:t>
      </w:r>
      <w:r w:rsidR="00E910DA" w:rsidRPr="001D6347">
        <w:rPr>
          <w:rFonts w:eastAsia="Times New Roman"/>
          <w:b/>
          <w:i/>
          <w:iCs/>
        </w:rPr>
        <w:tab/>
      </w:r>
      <w:r w:rsidR="00E910DA">
        <w:rPr>
          <w:rFonts w:eastAsia="Times New Roman"/>
          <w:b/>
          <w:i/>
          <w:iCs/>
        </w:rPr>
        <w:t>Incorporating a Plan requires a Vision</w:t>
      </w:r>
      <w:r w:rsidR="00E910DA" w:rsidRPr="001D6347">
        <w:rPr>
          <w:rFonts w:eastAsia="Times New Roman"/>
          <w:b/>
          <w:i/>
          <w:iCs/>
        </w:rPr>
        <w:t>:</w:t>
      </w:r>
      <w:r w:rsidR="00E910DA" w:rsidRPr="001D6347">
        <w:rPr>
          <w:rFonts w:asciiTheme="majorHAnsi" w:eastAsia="Times New Roman" w:hAnsiTheme="majorHAnsi"/>
        </w:rPr>
        <w:tab/>
      </w:r>
      <w:r w:rsidR="00E910DA" w:rsidRPr="001D6347">
        <w:rPr>
          <w:rFonts w:asciiTheme="majorHAnsi" w:eastAsia="Times New Roman" w:hAnsiTheme="majorHAnsi"/>
        </w:rPr>
        <w:tab/>
      </w:r>
    </w:p>
    <w:p w14:paraId="1E2E01DC" w14:textId="74F85396" w:rsidR="00B46501" w:rsidRPr="00670589" w:rsidRDefault="00B46501" w:rsidP="00833679">
      <w:pPr>
        <w:rPr>
          <w:rFonts w:ascii="CMR10" w:eastAsia="Times New Roman" w:hAnsi="CMR10" w:cs="Times New Roman"/>
          <w:color w:val="000000"/>
          <w:sz w:val="20"/>
          <w:szCs w:val="20"/>
          <w:u w:color="000000"/>
          <w:bdr w:val="nil"/>
        </w:rPr>
      </w:pPr>
      <w:r w:rsidRPr="00670589">
        <w:rPr>
          <w:rFonts w:ascii="CMR10" w:eastAsia="Times New Roman" w:hAnsi="CMR10" w:cs="Times New Roman"/>
          <w:color w:val="000000"/>
          <w:sz w:val="20"/>
          <w:szCs w:val="20"/>
          <w:u w:color="000000"/>
          <w:bdr w:val="nil"/>
        </w:rPr>
        <w:t>The S</w:t>
      </w:r>
      <w:r w:rsidR="00355138" w:rsidRPr="00670589">
        <w:rPr>
          <w:rFonts w:ascii="CMR10" w:eastAsia="Times New Roman" w:hAnsi="CMR10" w:cs="Times New Roman"/>
          <w:color w:val="000000"/>
          <w:sz w:val="20"/>
          <w:szCs w:val="20"/>
          <w:u w:color="000000"/>
          <w:bdr w:val="nil"/>
        </w:rPr>
        <w:t xml:space="preserve">pace </w:t>
      </w:r>
      <w:r w:rsidRPr="00670589">
        <w:rPr>
          <w:rFonts w:ascii="CMR10" w:eastAsia="Times New Roman" w:hAnsi="CMR10" w:cs="Times New Roman"/>
          <w:color w:val="000000"/>
          <w:sz w:val="20"/>
          <w:szCs w:val="20"/>
          <w:u w:color="000000"/>
          <w:bdr w:val="nil"/>
        </w:rPr>
        <w:t>E</w:t>
      </w:r>
      <w:r w:rsidR="00355138" w:rsidRPr="00670589">
        <w:rPr>
          <w:rFonts w:ascii="CMR10" w:eastAsia="Times New Roman" w:hAnsi="CMR10" w:cs="Times New Roman"/>
          <w:color w:val="000000"/>
          <w:sz w:val="20"/>
          <w:szCs w:val="20"/>
          <w:u w:color="000000"/>
          <w:bdr w:val="nil"/>
        </w:rPr>
        <w:t>levator</w:t>
      </w:r>
      <w:r w:rsidRPr="00670589">
        <w:rPr>
          <w:rFonts w:ascii="CMR10" w:eastAsia="Times New Roman" w:hAnsi="CMR10" w:cs="Times New Roman"/>
          <w:color w:val="000000"/>
          <w:sz w:val="20"/>
          <w:szCs w:val="20"/>
          <w:u w:color="000000"/>
          <w:bdr w:val="nil"/>
        </w:rPr>
        <w:t xml:space="preserve"> vision is straightforward in that it has a future architecture and words that show its place in the development of space:  </w:t>
      </w:r>
    </w:p>
    <w:p w14:paraId="01F5DE03" w14:textId="5052DA6D" w:rsidR="005F5973" w:rsidRPr="00670589" w:rsidRDefault="005F5973" w:rsidP="00833679">
      <w:pPr>
        <w:rPr>
          <w:rFonts w:ascii="CMR10" w:eastAsia="Times New Roman" w:hAnsi="CMR10" w:cs="Times New Roman"/>
          <w:color w:val="000000"/>
          <w:sz w:val="20"/>
          <w:szCs w:val="20"/>
          <w:u w:color="000000"/>
          <w:bdr w:val="nil"/>
        </w:rPr>
      </w:pPr>
    </w:p>
    <w:p w14:paraId="2DEFD480" w14:textId="77777777" w:rsidR="00B46501" w:rsidRPr="00670589" w:rsidRDefault="00B46501" w:rsidP="006A215D">
      <w:pPr>
        <w:autoSpaceDE w:val="0"/>
        <w:autoSpaceDN w:val="0"/>
        <w:adjustRightInd w:val="0"/>
        <w:ind w:left="360"/>
        <w:rPr>
          <w:rFonts w:ascii="CMR10" w:eastAsia="Times New Roman" w:hAnsi="CMR10" w:cs="Times New Roman"/>
          <w:color w:val="000000"/>
          <w:sz w:val="20"/>
          <w:szCs w:val="20"/>
          <w:u w:color="000000"/>
          <w:bdr w:val="nil"/>
        </w:rPr>
      </w:pPr>
      <w:r w:rsidRPr="00670589">
        <w:rPr>
          <w:rFonts w:ascii="CMR10" w:eastAsia="Times New Roman" w:hAnsi="CMR10" w:cs="Times New Roman"/>
          <w:color w:val="000000"/>
          <w:sz w:val="20"/>
          <w:szCs w:val="20"/>
          <w:u w:color="000000"/>
          <w:bdr w:val="nil"/>
        </w:rPr>
        <w:t>Space Elevators are the Green Road to Space while they enable humanity's most important missions by moving massive tonnage to GEO and beyond.  This is accomplished safely, routinely, inexpensively, daily, and they are environmentally neutral.</w:t>
      </w:r>
    </w:p>
    <w:p w14:paraId="38213F39" w14:textId="3AA66D50" w:rsidR="009B6FA9" w:rsidRPr="009B6FA9" w:rsidRDefault="009B6FA9" w:rsidP="00211EE7">
      <w:pPr>
        <w:rPr>
          <w:b/>
          <w:sz w:val="28"/>
          <w:szCs w:val="28"/>
        </w:rPr>
      </w:pPr>
    </w:p>
    <w:p w14:paraId="38C9B02B" w14:textId="57AA9D44" w:rsidR="005F5973" w:rsidRDefault="006A215D" w:rsidP="005F5973">
      <w:pPr>
        <w:rPr>
          <w:rFonts w:asciiTheme="majorHAnsi" w:eastAsia="Times New Roman" w:hAnsiTheme="majorHAnsi"/>
          <w:color w:val="0070C0"/>
        </w:rPr>
      </w:pPr>
      <w:r>
        <w:rPr>
          <w:rFonts w:eastAsia="Times New Roman"/>
          <w:b/>
          <w:i/>
          <w:iCs/>
        </w:rPr>
        <w:t>2.0</w:t>
      </w:r>
      <w:r w:rsidR="00E910DA" w:rsidRPr="001D6347">
        <w:rPr>
          <w:rFonts w:eastAsia="Times New Roman"/>
          <w:b/>
          <w:i/>
          <w:iCs/>
        </w:rPr>
        <w:tab/>
      </w:r>
      <w:r w:rsidR="005F5973" w:rsidRPr="00F661DF">
        <w:rPr>
          <w:rFonts w:eastAsia="Times New Roman"/>
          <w:b/>
          <w:i/>
          <w:iCs/>
          <w:color w:val="000000" w:themeColor="text1"/>
        </w:rPr>
        <w:t>The Galactic Harbour Transportation System Concept:</w:t>
      </w:r>
      <w:r w:rsidR="005F5973" w:rsidRPr="00211EE7">
        <w:rPr>
          <w:rFonts w:asciiTheme="majorHAnsi" w:eastAsia="Times New Roman" w:hAnsiTheme="majorHAnsi"/>
          <w:color w:val="0070C0"/>
        </w:rPr>
        <w:tab/>
      </w:r>
    </w:p>
    <w:p w14:paraId="456BD5C0" w14:textId="543675F6" w:rsidR="005F5973" w:rsidRPr="00A1540B" w:rsidRDefault="005F5973" w:rsidP="005F5973">
      <w:pPr>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Two S</w:t>
      </w:r>
      <w:r w:rsidR="00355138" w:rsidRPr="00A1540B">
        <w:rPr>
          <w:rFonts w:ascii="CMR10" w:eastAsia="Times New Roman" w:hAnsi="CMR10" w:cs="Times New Roman"/>
          <w:color w:val="000000"/>
          <w:sz w:val="20"/>
          <w:szCs w:val="20"/>
          <w:u w:color="000000"/>
          <w:bdr w:val="nil"/>
        </w:rPr>
        <w:t xml:space="preserve">pace </w:t>
      </w:r>
      <w:r w:rsidRPr="00A1540B">
        <w:rPr>
          <w:rFonts w:ascii="CMR10" w:eastAsia="Times New Roman" w:hAnsi="CMR10" w:cs="Times New Roman"/>
          <w:color w:val="000000"/>
          <w:sz w:val="20"/>
          <w:szCs w:val="20"/>
          <w:u w:color="000000"/>
          <w:bdr w:val="nil"/>
        </w:rPr>
        <w:t>E</w:t>
      </w:r>
      <w:r w:rsidR="00355138" w:rsidRPr="00A1540B">
        <w:rPr>
          <w:rFonts w:ascii="CMR10" w:eastAsia="Times New Roman" w:hAnsi="CMR10" w:cs="Times New Roman"/>
          <w:color w:val="000000"/>
          <w:sz w:val="20"/>
          <w:szCs w:val="20"/>
          <w:u w:color="000000"/>
          <w:bdr w:val="nil"/>
        </w:rPr>
        <w:t>levator</w:t>
      </w:r>
      <w:r w:rsidRPr="00A1540B">
        <w:rPr>
          <w:rFonts w:ascii="CMR10" w:eastAsia="Times New Roman" w:hAnsi="CMR10" w:cs="Times New Roman"/>
          <w:color w:val="000000"/>
          <w:sz w:val="20"/>
          <w:szCs w:val="20"/>
          <w:u w:color="000000"/>
          <w:bdr w:val="nil"/>
        </w:rPr>
        <w:t>s per G</w:t>
      </w:r>
      <w:r w:rsidR="00355138" w:rsidRPr="00A1540B">
        <w:rPr>
          <w:rFonts w:ascii="CMR10" w:eastAsia="Times New Roman" w:hAnsi="CMR10" w:cs="Times New Roman"/>
          <w:color w:val="000000"/>
          <w:sz w:val="20"/>
          <w:szCs w:val="20"/>
          <w:u w:color="000000"/>
          <w:bdr w:val="nil"/>
        </w:rPr>
        <w:t xml:space="preserve">alactic </w:t>
      </w:r>
      <w:r w:rsidRPr="00A1540B">
        <w:rPr>
          <w:rFonts w:ascii="CMR10" w:eastAsia="Times New Roman" w:hAnsi="CMR10" w:cs="Times New Roman"/>
          <w:color w:val="000000"/>
          <w:sz w:val="20"/>
          <w:szCs w:val="20"/>
          <w:u w:color="000000"/>
          <w:bdr w:val="nil"/>
        </w:rPr>
        <w:t>H</w:t>
      </w:r>
      <w:r w:rsidR="00355138" w:rsidRPr="00A1540B">
        <w:rPr>
          <w:rFonts w:ascii="CMR10" w:eastAsia="Times New Roman" w:hAnsi="CMR10" w:cs="Times New Roman"/>
          <w:color w:val="000000"/>
          <w:sz w:val="20"/>
          <w:szCs w:val="20"/>
          <w:u w:color="000000"/>
          <w:bdr w:val="nil"/>
        </w:rPr>
        <w:t>arbour</w:t>
      </w:r>
      <w:r w:rsidRPr="00A1540B">
        <w:rPr>
          <w:rFonts w:ascii="CMR10" w:eastAsia="Times New Roman" w:hAnsi="CMR10" w:cs="Times New Roman"/>
          <w:color w:val="000000"/>
          <w:sz w:val="20"/>
          <w:szCs w:val="20"/>
          <w:u w:color="000000"/>
          <w:bdr w:val="nil"/>
        </w:rPr>
        <w:t xml:space="preserve"> </w:t>
      </w:r>
      <w:r w:rsidR="00355138" w:rsidRPr="00A1540B">
        <w:rPr>
          <w:rFonts w:ascii="CMR10" w:eastAsia="Times New Roman" w:hAnsi="CMR10" w:cs="Times New Roman"/>
          <w:color w:val="000000"/>
          <w:sz w:val="20"/>
          <w:szCs w:val="20"/>
          <w:u w:color="000000"/>
          <w:bdr w:val="nil"/>
        </w:rPr>
        <w:t>have</w:t>
      </w:r>
      <w:r w:rsidRPr="00A1540B">
        <w:rPr>
          <w:rFonts w:ascii="CMR10" w:eastAsia="Times New Roman" w:hAnsi="CMR10" w:cs="Times New Roman"/>
          <w:color w:val="000000"/>
          <w:sz w:val="20"/>
          <w:szCs w:val="20"/>
          <w:u w:color="000000"/>
          <w:bdr w:val="nil"/>
        </w:rPr>
        <w:t xml:space="preserve"> a capability of moving massive cargo on a green road to space.</w:t>
      </w:r>
      <w:r w:rsidRPr="00A1540B">
        <w:rPr>
          <w:rFonts w:ascii="CMR10" w:hAnsi="CMR10" w:cs="Times New Roman"/>
          <w:color w:val="000000"/>
          <w:sz w:val="20"/>
          <w:szCs w:val="20"/>
          <w:u w:color="000000"/>
          <w:bdr w:val="nil"/>
        </w:rPr>
        <w:footnoteReference w:id="3"/>
      </w:r>
      <w:r w:rsidRPr="00A1540B">
        <w:rPr>
          <w:rFonts w:ascii="CMR10" w:eastAsia="Times New Roman" w:hAnsi="CMR10" w:cs="Times New Roman"/>
          <w:color w:val="000000"/>
          <w:sz w:val="20"/>
          <w:szCs w:val="20"/>
          <w:u w:color="000000"/>
          <w:bdr w:val="nil"/>
        </w:rPr>
        <w:t xml:space="preserve"> </w:t>
      </w:r>
      <w:r w:rsidR="00355138" w:rsidRPr="00A1540B">
        <w:rPr>
          <w:rFonts w:ascii="CMR10" w:eastAsia="Times New Roman" w:hAnsi="CMR10" w:cs="Times New Roman"/>
          <w:color w:val="000000"/>
          <w:sz w:val="20"/>
          <w:szCs w:val="20"/>
          <w:u w:color="000000"/>
          <w:bdr w:val="nil"/>
        </w:rPr>
        <w:t xml:space="preserve">The transportation </w:t>
      </w:r>
      <w:r w:rsidRPr="00A1540B">
        <w:rPr>
          <w:rFonts w:ascii="CMR10" w:eastAsia="Times New Roman" w:hAnsi="CMR10" w:cs="Times New Roman"/>
          <w:color w:val="000000"/>
          <w:sz w:val="20"/>
          <w:szCs w:val="20"/>
          <w:u w:color="000000"/>
          <w:bdr w:val="nil"/>
        </w:rPr>
        <w:t>strategy is to link the Space Elevator Transportation System to the Space Elevator Enterprises that will develop along the permanent infrastructure.  This unifying vision is called the Galactic Harbour.  It beats the Gravity Well in an</w:t>
      </w:r>
      <w:r w:rsidR="00355138" w:rsidRPr="00A1540B">
        <w:rPr>
          <w:rFonts w:ascii="CMR10" w:eastAsia="Times New Roman" w:hAnsi="CMR10" w:cs="Times New Roman"/>
          <w:color w:val="000000"/>
          <w:sz w:val="20"/>
          <w:szCs w:val="20"/>
          <w:u w:color="000000"/>
          <w:bdr w:val="nil"/>
        </w:rPr>
        <w:t xml:space="preserve"> </w:t>
      </w:r>
      <w:r w:rsidRPr="00A1540B">
        <w:rPr>
          <w:rFonts w:ascii="CMR10" w:eastAsia="Times New Roman" w:hAnsi="CMR10" w:cs="Times New Roman"/>
          <w:color w:val="000000"/>
          <w:sz w:val="20"/>
          <w:szCs w:val="20"/>
          <w:u w:color="000000"/>
          <w:bdr w:val="nil"/>
        </w:rPr>
        <w:t>environmentally friendly manner</w:t>
      </w:r>
      <w:r w:rsidR="00355138" w:rsidRPr="00A1540B">
        <w:rPr>
          <w:rFonts w:ascii="CMR10" w:eastAsia="Times New Roman" w:hAnsi="CMR10" w:cs="Times New Roman"/>
          <w:color w:val="000000"/>
          <w:sz w:val="20"/>
          <w:szCs w:val="20"/>
          <w:u w:color="000000"/>
          <w:bdr w:val="nil"/>
        </w:rPr>
        <w:t xml:space="preserve"> while creating commercial ventures along the infrastructure, such as facilities for refueling, repair and construction.</w:t>
      </w:r>
    </w:p>
    <w:p w14:paraId="7375DC45" w14:textId="54F40011" w:rsidR="005F5973" w:rsidRPr="00A1540B" w:rsidRDefault="005F5973" w:rsidP="005F5973">
      <w:pPr>
        <w:rPr>
          <w:rFonts w:ascii="CMR10" w:eastAsia="Times New Roman" w:hAnsi="CMR10" w:cs="Times New Roman"/>
          <w:color w:val="000000"/>
          <w:sz w:val="20"/>
          <w:szCs w:val="20"/>
          <w:u w:color="000000"/>
          <w:bdr w:val="nil"/>
        </w:rPr>
      </w:pPr>
    </w:p>
    <w:p w14:paraId="519744A6" w14:textId="0B9048AB" w:rsidR="005F5973" w:rsidRPr="00A1540B" w:rsidRDefault="005F5973" w:rsidP="005F5973">
      <w:pPr>
        <w:rPr>
          <w:rFonts w:ascii="CMR10" w:eastAsia="Times New Roman" w:hAnsi="CMR10" w:cs="Times New Roman"/>
          <w:color w:val="000000"/>
          <w:sz w:val="20"/>
          <w:szCs w:val="20"/>
          <w:u w:color="000000"/>
          <w:bdr w:val="nil"/>
        </w:rPr>
      </w:pPr>
    </w:p>
    <w:p w14:paraId="2C783697" w14:textId="13D55E06" w:rsidR="005F5973" w:rsidRPr="00A1540B" w:rsidRDefault="005F5973" w:rsidP="005F5973">
      <w:pPr>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 xml:space="preserve">The future for humans to open up off-planet activities is immense when one realizes that the permanent space access infrastructure </w:t>
      </w:r>
      <w:r w:rsidR="00355138" w:rsidRPr="00A1540B">
        <w:rPr>
          <w:rFonts w:ascii="CMR10" w:eastAsia="Times New Roman" w:hAnsi="CMR10" w:cs="Times New Roman"/>
          <w:color w:val="000000"/>
          <w:sz w:val="20"/>
          <w:szCs w:val="20"/>
          <w:u w:color="000000"/>
          <w:bdr w:val="nil"/>
        </w:rPr>
        <w:t>c</w:t>
      </w:r>
      <w:r w:rsidR="006A215D" w:rsidRPr="00A1540B">
        <w:rPr>
          <w:rFonts w:ascii="CMR10" w:eastAsia="Times New Roman" w:hAnsi="CMR10" w:cs="Times New Roman"/>
          <w:color w:val="000000"/>
          <w:sz w:val="20"/>
          <w:szCs w:val="20"/>
          <w:u w:color="000000"/>
          <w:bdr w:val="nil"/>
        </w:rPr>
        <w:t xml:space="preserve">onsists of an Earth Port with Floating Operations Center, a Tether Segment stretching from the </w:t>
      </w:r>
      <w:r w:rsidR="00355138" w:rsidRPr="00A1540B">
        <w:rPr>
          <w:rFonts w:ascii="CMR10" w:eastAsia="Times New Roman" w:hAnsi="CMR10" w:cs="Times New Roman"/>
          <w:color w:val="000000"/>
          <w:sz w:val="20"/>
          <w:szCs w:val="20"/>
          <w:u w:color="000000"/>
          <w:bdr w:val="nil"/>
        </w:rPr>
        <w:t>s</w:t>
      </w:r>
      <w:r w:rsidR="006A215D" w:rsidRPr="00A1540B">
        <w:rPr>
          <w:rFonts w:ascii="CMR10" w:eastAsia="Times New Roman" w:hAnsi="CMR10" w:cs="Times New Roman"/>
          <w:color w:val="000000"/>
          <w:sz w:val="20"/>
          <w:szCs w:val="20"/>
          <w:u w:color="000000"/>
          <w:bdr w:val="nil"/>
        </w:rPr>
        <w:t xml:space="preserve">urface of the ocean to the top of the tether, Tether Climbers to move massive cargo up and down the tether, and the Apex Anchor at the upper terminus.  The major </w:t>
      </w:r>
      <w:r w:rsidR="006A215D" w:rsidRPr="00A1540B">
        <w:rPr>
          <w:rFonts w:ascii="CMR10" w:eastAsia="Times New Roman" w:hAnsi="CMR10" w:cs="Times New Roman"/>
          <w:color w:val="000000"/>
          <w:sz w:val="20"/>
          <w:szCs w:val="20"/>
          <w:u w:color="000000"/>
          <w:bdr w:val="nil"/>
        </w:rPr>
        <w:lastRenderedPageBreak/>
        <w:t xml:space="preserve">characteristics of this architecture relate to a permanent transportation infrastructure; such as: </w:t>
      </w:r>
    </w:p>
    <w:p w14:paraId="1AD317F3" w14:textId="52D60354" w:rsidR="005F5973" w:rsidRPr="00A1540B" w:rsidRDefault="005F5973" w:rsidP="00A1540B">
      <w:pPr>
        <w:ind w:firstLine="720"/>
        <w:rPr>
          <w:rFonts w:ascii="CMR10" w:eastAsia="Times New Roman" w:hAnsi="CMR10" w:cs="Times New Roman"/>
          <w:color w:val="000000"/>
          <w:sz w:val="20"/>
          <w:szCs w:val="20"/>
          <w:u w:color="000000"/>
          <w:bdr w:val="nil"/>
        </w:rPr>
      </w:pPr>
    </w:p>
    <w:p w14:paraId="42EA4C21" w14:textId="77777777" w:rsidR="005F5973" w:rsidRPr="00A1540B" w:rsidRDefault="005F5973" w:rsidP="00A1540B">
      <w:pPr>
        <w:pStyle w:val="ListParagraph"/>
        <w:numPr>
          <w:ilvl w:val="0"/>
          <w:numId w:val="27"/>
        </w:numPr>
        <w:rPr>
          <w:rFonts w:ascii="CMR10" w:eastAsia="Times New Roman" w:hAnsi="CMR10" w:cs="Times New Roman"/>
          <w:sz w:val="20"/>
          <w:szCs w:val="20"/>
        </w:rPr>
      </w:pPr>
      <w:r w:rsidRPr="00A1540B">
        <w:rPr>
          <w:rFonts w:ascii="CMR10" w:eastAsia="Times New Roman" w:hAnsi="CMR10" w:cs="Times New Roman"/>
          <w:sz w:val="20"/>
          <w:szCs w:val="20"/>
        </w:rPr>
        <w:t>Revolutionarily inexpensive to GEO [$100/kg to GEO]</w:t>
      </w:r>
    </w:p>
    <w:p w14:paraId="31776C06" w14:textId="77777777" w:rsidR="005F5973" w:rsidRPr="00A1540B" w:rsidRDefault="005F5973" w:rsidP="00A1540B">
      <w:pPr>
        <w:pStyle w:val="ListParagraph"/>
        <w:numPr>
          <w:ilvl w:val="0"/>
          <w:numId w:val="27"/>
        </w:numPr>
        <w:rPr>
          <w:rFonts w:ascii="CMR10" w:eastAsia="Times New Roman" w:hAnsi="CMR10" w:cs="Times New Roman"/>
          <w:sz w:val="20"/>
          <w:szCs w:val="20"/>
        </w:rPr>
      </w:pPr>
      <w:r w:rsidRPr="00A1540B">
        <w:rPr>
          <w:rFonts w:ascii="CMR10" w:eastAsia="Times New Roman" w:hAnsi="CMR10" w:cs="Times New Roman"/>
          <w:sz w:val="20"/>
          <w:szCs w:val="20"/>
        </w:rPr>
        <w:t>Commercial development similar to bridge building</w:t>
      </w:r>
    </w:p>
    <w:p w14:paraId="4D77FA72" w14:textId="77777777" w:rsidR="005F5973" w:rsidRPr="00A1540B" w:rsidRDefault="005F5973" w:rsidP="00A1540B">
      <w:pPr>
        <w:pStyle w:val="ListParagraph"/>
        <w:numPr>
          <w:ilvl w:val="0"/>
          <w:numId w:val="27"/>
        </w:numPr>
        <w:rPr>
          <w:rFonts w:ascii="CMR10" w:eastAsia="Times New Roman" w:hAnsi="CMR10" w:cs="Times New Roman"/>
          <w:sz w:val="20"/>
          <w:szCs w:val="20"/>
        </w:rPr>
      </w:pPr>
      <w:r w:rsidRPr="00A1540B">
        <w:rPr>
          <w:rFonts w:ascii="CMR10" w:eastAsia="Times New Roman" w:hAnsi="CMR10" w:cs="Times New Roman"/>
          <w:sz w:val="20"/>
          <w:szCs w:val="20"/>
        </w:rPr>
        <w:t>Routine [daily launches]</w:t>
      </w:r>
    </w:p>
    <w:p w14:paraId="0ECFC035" w14:textId="77777777" w:rsidR="005F5973" w:rsidRPr="00A1540B" w:rsidRDefault="005F5973" w:rsidP="00A1540B">
      <w:pPr>
        <w:pStyle w:val="ListParagraph"/>
        <w:numPr>
          <w:ilvl w:val="0"/>
          <w:numId w:val="27"/>
        </w:numPr>
        <w:rPr>
          <w:rFonts w:ascii="CMR10" w:eastAsia="Times New Roman" w:hAnsi="CMR10" w:cs="Times New Roman"/>
          <w:sz w:val="20"/>
          <w:szCs w:val="20"/>
        </w:rPr>
      </w:pPr>
      <w:r w:rsidRPr="00A1540B">
        <w:rPr>
          <w:rFonts w:ascii="CMR10" w:eastAsia="Times New Roman" w:hAnsi="CMR10" w:cs="Times New Roman"/>
          <w:sz w:val="20"/>
          <w:szCs w:val="20"/>
        </w:rPr>
        <w:t>Safe [no chemical explosions from propulsion]</w:t>
      </w:r>
    </w:p>
    <w:p w14:paraId="530D6E18" w14:textId="77777777" w:rsidR="005F5973" w:rsidRPr="00A1540B" w:rsidRDefault="005F5973" w:rsidP="00A1540B">
      <w:pPr>
        <w:pStyle w:val="ListParagraph"/>
        <w:numPr>
          <w:ilvl w:val="0"/>
          <w:numId w:val="27"/>
        </w:numPr>
        <w:rPr>
          <w:rFonts w:ascii="CMR10" w:eastAsia="Times New Roman" w:hAnsi="CMR10" w:cs="Times New Roman"/>
          <w:sz w:val="20"/>
          <w:szCs w:val="20"/>
        </w:rPr>
      </w:pPr>
      <w:r w:rsidRPr="00A1540B">
        <w:rPr>
          <w:rFonts w:ascii="CMR10" w:eastAsia="Times New Roman" w:hAnsi="CMR10" w:cs="Times New Roman"/>
          <w:sz w:val="20"/>
          <w:szCs w:val="20"/>
        </w:rPr>
        <w:t xml:space="preserve">Permanent </w:t>
      </w:r>
      <w:proofErr w:type="gramStart"/>
      <w:r w:rsidRPr="00A1540B">
        <w:rPr>
          <w:rFonts w:ascii="CMR10" w:eastAsia="Times New Roman" w:hAnsi="CMR10" w:cs="Times New Roman"/>
          <w:sz w:val="20"/>
          <w:szCs w:val="20"/>
        </w:rPr>
        <w:t>infrastructure  24</w:t>
      </w:r>
      <w:proofErr w:type="gramEnd"/>
      <w:r w:rsidRPr="00A1540B">
        <w:rPr>
          <w:rFonts w:ascii="CMR10" w:eastAsia="Times New Roman" w:hAnsi="CMR10" w:cs="Times New Roman"/>
          <w:sz w:val="20"/>
          <w:szCs w:val="20"/>
        </w:rPr>
        <w:t>/7/365/50 yrs. [bridge similarities]</w:t>
      </w:r>
    </w:p>
    <w:p w14:paraId="45457B71" w14:textId="1000BBE1" w:rsidR="005F5973" w:rsidRPr="00A1540B" w:rsidRDefault="005F5973" w:rsidP="00A1540B">
      <w:pPr>
        <w:pStyle w:val="ListParagraph"/>
        <w:numPr>
          <w:ilvl w:val="0"/>
          <w:numId w:val="27"/>
        </w:numPr>
        <w:rPr>
          <w:rFonts w:ascii="CMR10" w:eastAsia="Times New Roman" w:hAnsi="CMR10" w:cs="Times New Roman"/>
          <w:sz w:val="20"/>
          <w:szCs w:val="20"/>
        </w:rPr>
      </w:pPr>
      <w:r w:rsidRPr="00A1540B">
        <w:rPr>
          <w:rFonts w:ascii="CMR10" w:eastAsia="Times New Roman" w:hAnsi="CMR10" w:cs="Times New Roman"/>
          <w:sz w:val="20"/>
          <w:szCs w:val="20"/>
        </w:rPr>
        <w:t>Massive loads with daily launches per elevator</w:t>
      </w:r>
      <w:r w:rsidR="00355138" w:rsidRPr="00A1540B">
        <w:rPr>
          <w:rFonts w:ascii="CMR10" w:eastAsia="Times New Roman" w:hAnsi="CMR10" w:cs="Times New Roman"/>
          <w:sz w:val="20"/>
          <w:szCs w:val="20"/>
        </w:rPr>
        <w:t xml:space="preserve"> [170,000 </w:t>
      </w:r>
      <w:proofErr w:type="spellStart"/>
      <w:r w:rsidR="00355138" w:rsidRPr="00A1540B">
        <w:rPr>
          <w:rFonts w:ascii="CMR10" w:eastAsia="Times New Roman" w:hAnsi="CMR10" w:cs="Times New Roman"/>
          <w:sz w:val="20"/>
          <w:szCs w:val="20"/>
        </w:rPr>
        <w:t>tonnes</w:t>
      </w:r>
      <w:proofErr w:type="spellEnd"/>
      <w:r w:rsidR="00355138" w:rsidRPr="00A1540B">
        <w:rPr>
          <w:rFonts w:ascii="CMR10" w:eastAsia="Times New Roman" w:hAnsi="CMR10" w:cs="Times New Roman"/>
          <w:sz w:val="20"/>
          <w:szCs w:val="20"/>
        </w:rPr>
        <w:t xml:space="preserve"> / </w:t>
      </w:r>
      <w:proofErr w:type="spellStart"/>
      <w:r w:rsidR="00355138" w:rsidRPr="00A1540B">
        <w:rPr>
          <w:rFonts w:ascii="CMR10" w:eastAsia="Times New Roman" w:hAnsi="CMR10" w:cs="Times New Roman"/>
          <w:sz w:val="20"/>
          <w:szCs w:val="20"/>
        </w:rPr>
        <w:t>yr</w:t>
      </w:r>
      <w:proofErr w:type="spellEnd"/>
      <w:r w:rsidR="00355138" w:rsidRPr="00A1540B">
        <w:rPr>
          <w:rFonts w:ascii="CMR10" w:eastAsia="Times New Roman" w:hAnsi="CMR10" w:cs="Times New Roman"/>
          <w:sz w:val="20"/>
          <w:szCs w:val="20"/>
        </w:rPr>
        <w:t>]</w:t>
      </w:r>
    </w:p>
    <w:p w14:paraId="159D6709" w14:textId="77777777" w:rsidR="005F5973" w:rsidRPr="00A1540B" w:rsidRDefault="005F5973" w:rsidP="00A1540B">
      <w:pPr>
        <w:pStyle w:val="ListParagraph"/>
        <w:numPr>
          <w:ilvl w:val="0"/>
          <w:numId w:val="27"/>
        </w:numPr>
        <w:rPr>
          <w:rFonts w:ascii="CMR10" w:eastAsia="Times New Roman" w:hAnsi="CMR10" w:cs="Times New Roman"/>
          <w:sz w:val="20"/>
          <w:szCs w:val="20"/>
        </w:rPr>
      </w:pPr>
      <w:r w:rsidRPr="00A1540B">
        <w:rPr>
          <w:rFonts w:ascii="CMR10" w:eastAsia="Times New Roman" w:hAnsi="CMR10" w:cs="Times New Roman"/>
          <w:sz w:val="20"/>
          <w:szCs w:val="20"/>
        </w:rPr>
        <w:t>No shake-rattle-roll during launch</w:t>
      </w:r>
    </w:p>
    <w:p w14:paraId="52867499" w14:textId="1B477616" w:rsidR="005F5973" w:rsidRPr="00A1540B" w:rsidRDefault="005F5973" w:rsidP="00A1540B">
      <w:pPr>
        <w:pStyle w:val="ListParagraph"/>
        <w:numPr>
          <w:ilvl w:val="0"/>
          <w:numId w:val="27"/>
        </w:numPr>
        <w:rPr>
          <w:rFonts w:ascii="CMR10" w:eastAsia="Times New Roman" w:hAnsi="CMR10" w:cs="Times New Roman"/>
          <w:sz w:val="20"/>
          <w:szCs w:val="20"/>
        </w:rPr>
      </w:pPr>
      <w:r w:rsidRPr="00A1540B">
        <w:rPr>
          <w:rFonts w:ascii="CMR10" w:eastAsia="Times New Roman" w:hAnsi="CMR10" w:cs="Times New Roman"/>
          <w:sz w:val="20"/>
          <w:szCs w:val="20"/>
        </w:rPr>
        <w:t xml:space="preserve">“Big Green Machine” </w:t>
      </w:r>
      <w:r w:rsidR="00355138" w:rsidRPr="00A1540B">
        <w:rPr>
          <w:rFonts w:ascii="CMR10" w:eastAsia="Times New Roman" w:hAnsi="CMR10" w:cs="Times New Roman"/>
          <w:sz w:val="20"/>
          <w:szCs w:val="20"/>
        </w:rPr>
        <w:t>has l</w:t>
      </w:r>
      <w:r w:rsidRPr="00A1540B">
        <w:rPr>
          <w:rFonts w:ascii="CMR10" w:eastAsia="Times New Roman" w:hAnsi="CMR10" w:cs="Times New Roman"/>
          <w:sz w:val="20"/>
          <w:szCs w:val="20"/>
        </w:rPr>
        <w:t>ittle impact on global environment</w:t>
      </w:r>
    </w:p>
    <w:p w14:paraId="0B33F17E" w14:textId="77777777" w:rsidR="005F5973" w:rsidRPr="00A1540B" w:rsidRDefault="005F5973" w:rsidP="00A1540B">
      <w:pPr>
        <w:pStyle w:val="ListParagraph"/>
        <w:numPr>
          <w:ilvl w:val="0"/>
          <w:numId w:val="27"/>
        </w:numPr>
        <w:rPr>
          <w:rFonts w:ascii="CMR10" w:eastAsia="Times New Roman" w:hAnsi="CMR10" w:cs="Times New Roman"/>
          <w:sz w:val="20"/>
          <w:szCs w:val="20"/>
        </w:rPr>
      </w:pPr>
      <w:r w:rsidRPr="00A1540B">
        <w:rPr>
          <w:rFonts w:ascii="CMR10" w:eastAsia="Times New Roman" w:hAnsi="CMR10" w:cs="Times New Roman"/>
          <w:sz w:val="20"/>
          <w:szCs w:val="20"/>
        </w:rPr>
        <w:t>No consumption of fossil fuel.</w:t>
      </w:r>
    </w:p>
    <w:p w14:paraId="62C4356E" w14:textId="77777777" w:rsidR="005F5973" w:rsidRPr="00A1540B" w:rsidRDefault="005F5973" w:rsidP="00A1540B">
      <w:pPr>
        <w:pStyle w:val="ListParagraph"/>
        <w:numPr>
          <w:ilvl w:val="0"/>
          <w:numId w:val="27"/>
        </w:numPr>
        <w:rPr>
          <w:rFonts w:ascii="CMR10" w:eastAsia="Times New Roman" w:hAnsi="CMR10" w:cs="Times New Roman"/>
          <w:sz w:val="20"/>
          <w:szCs w:val="20"/>
        </w:rPr>
      </w:pPr>
      <w:r w:rsidRPr="00A1540B">
        <w:rPr>
          <w:rFonts w:ascii="CMR10" w:eastAsia="Times New Roman" w:hAnsi="CMR10" w:cs="Times New Roman"/>
          <w:sz w:val="20"/>
          <w:szCs w:val="20"/>
        </w:rPr>
        <w:t xml:space="preserve">Does not leave space debris in orbit  </w:t>
      </w:r>
    </w:p>
    <w:p w14:paraId="5EF0526F" w14:textId="77777777" w:rsidR="005F5973" w:rsidRPr="00A1540B" w:rsidRDefault="005F5973" w:rsidP="005F5973">
      <w:pPr>
        <w:rPr>
          <w:rFonts w:ascii="CMR10" w:eastAsia="Times New Roman" w:hAnsi="CMR10" w:cs="Times New Roman"/>
          <w:color w:val="000000"/>
          <w:sz w:val="20"/>
          <w:szCs w:val="20"/>
          <w:u w:color="000000"/>
          <w:bdr w:val="nil"/>
        </w:rPr>
      </w:pPr>
    </w:p>
    <w:p w14:paraId="2F4A77A1" w14:textId="77777777" w:rsidR="005F5973" w:rsidRDefault="005F5973" w:rsidP="005F5973">
      <w:pPr>
        <w:rPr>
          <w:rFonts w:asciiTheme="majorHAnsi" w:eastAsia="Times New Roman" w:hAnsiTheme="majorHAnsi"/>
          <w:color w:val="000000" w:themeColor="text1"/>
        </w:rPr>
      </w:pPr>
    </w:p>
    <w:p w14:paraId="4FE97418" w14:textId="6F4BCB80" w:rsidR="005F5973" w:rsidRPr="00A1540B" w:rsidRDefault="006A215D" w:rsidP="005F5973">
      <w:pPr>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In addition, there are</w:t>
      </w:r>
      <w:r w:rsidR="005F5973" w:rsidRPr="00A1540B">
        <w:rPr>
          <w:rFonts w:ascii="CMR10" w:eastAsia="Times New Roman" w:hAnsi="CMR10" w:cs="Times New Roman"/>
          <w:color w:val="000000"/>
          <w:sz w:val="20"/>
          <w:szCs w:val="20"/>
          <w:u w:color="000000"/>
          <w:bdr w:val="nil"/>
        </w:rPr>
        <w:t xml:space="preserve"> unique characteristics of Space Elevators with a rapidly moving Apex Anchor (7.76 km/sec) </w:t>
      </w:r>
      <w:r w:rsidRPr="00A1540B">
        <w:rPr>
          <w:rFonts w:ascii="CMR10" w:eastAsia="Times New Roman" w:hAnsi="CMR10" w:cs="Times New Roman"/>
          <w:color w:val="000000"/>
          <w:sz w:val="20"/>
          <w:szCs w:val="20"/>
          <w:u w:color="000000"/>
          <w:bdr w:val="nil"/>
        </w:rPr>
        <w:t xml:space="preserve">which </w:t>
      </w:r>
      <w:r w:rsidR="005F5973" w:rsidRPr="00A1540B">
        <w:rPr>
          <w:rFonts w:ascii="CMR10" w:eastAsia="Times New Roman" w:hAnsi="CMR10" w:cs="Times New Roman"/>
          <w:color w:val="000000"/>
          <w:sz w:val="20"/>
          <w:szCs w:val="20"/>
          <w:u w:color="000000"/>
          <w:bdr w:val="nil"/>
        </w:rPr>
        <w:t xml:space="preserve">enable remarkable opportunities for off-planet missions. This combination of three major strengths will ensure constant support to missions beyond Geosynchronous altitude. Strengths:  </w:t>
      </w:r>
    </w:p>
    <w:p w14:paraId="08142550" w14:textId="361A0671" w:rsidR="005F5973" w:rsidRPr="00A1540B" w:rsidRDefault="006A215D" w:rsidP="00355138">
      <w:pPr>
        <w:numPr>
          <w:ilvl w:val="1"/>
          <w:numId w:val="19"/>
        </w:numPr>
        <w:tabs>
          <w:tab w:val="clear" w:pos="1440"/>
        </w:tabs>
        <w:ind w:left="810"/>
        <w:rPr>
          <w:rFonts w:ascii="CMR10" w:eastAsia="Times New Roman" w:hAnsi="CMR10" w:cs="Times New Roman"/>
          <w:color w:val="000000"/>
          <w:sz w:val="20"/>
          <w:szCs w:val="20"/>
          <w:u w:color="000000"/>
          <w:bdr w:val="nil"/>
        </w:rPr>
      </w:pPr>
      <w:r w:rsidRPr="00A1540B">
        <w:rPr>
          <w:rFonts w:ascii="CMR10" w:eastAsia="Times New Roman" w:hAnsi="CMR10" w:cs="Times New Roman"/>
          <w:noProof/>
          <w:color w:val="000000"/>
          <w:sz w:val="20"/>
          <w:szCs w:val="20"/>
          <w:u w:color="000000"/>
          <w:bdr w:val="nil"/>
        </w:rPr>
        <w:drawing>
          <wp:anchor distT="0" distB="0" distL="114300" distR="114300" simplePos="0" relativeHeight="251662336" behindDoc="0" locked="0" layoutInCell="1" allowOverlap="1" wp14:anchorId="3E4DDF71" wp14:editId="7440029D">
            <wp:simplePos x="0" y="0"/>
            <wp:positionH relativeFrom="margin">
              <wp:posOffset>3206750</wp:posOffset>
            </wp:positionH>
            <wp:positionV relativeFrom="margin">
              <wp:posOffset>1866900</wp:posOffset>
            </wp:positionV>
            <wp:extent cx="2275840" cy="1864995"/>
            <wp:effectExtent l="0" t="0" r="0" b="1905"/>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2275840" cy="1864995"/>
                    </a:xfrm>
                    <a:prstGeom prst="rect">
                      <a:avLst/>
                    </a:prstGeom>
                  </pic:spPr>
                </pic:pic>
              </a:graphicData>
            </a:graphic>
            <wp14:sizeRelH relativeFrom="margin">
              <wp14:pctWidth>0</wp14:pctWidth>
            </wp14:sizeRelH>
            <wp14:sizeRelV relativeFrom="margin">
              <wp14:pctHeight>0</wp14:pctHeight>
            </wp14:sizeRelV>
          </wp:anchor>
        </w:drawing>
      </w:r>
      <w:r w:rsidR="005F5973" w:rsidRPr="00A1540B">
        <w:rPr>
          <w:rFonts w:ascii="CMR10" w:eastAsia="Times New Roman" w:hAnsi="CMR10" w:cs="Times New Roman"/>
          <w:color w:val="000000"/>
          <w:sz w:val="20"/>
          <w:szCs w:val="20"/>
          <w:u w:color="000000"/>
          <w:bdr w:val="nil"/>
        </w:rPr>
        <w:t>Rapid Transit</w:t>
      </w:r>
      <w:r w:rsidRPr="00A1540B">
        <w:rPr>
          <w:rFonts w:ascii="CMR10" w:eastAsia="Times New Roman" w:hAnsi="CMR10" w:cs="Times New Roman"/>
          <w:color w:val="000000"/>
          <w:sz w:val="20"/>
          <w:szCs w:val="20"/>
          <w:u w:color="000000"/>
          <w:bdr w:val="nil"/>
        </w:rPr>
        <w:t xml:space="preserve"> </w:t>
      </w:r>
      <w:r w:rsidRPr="00A1540B">
        <w:rPr>
          <w:rFonts w:ascii="CMR10" w:eastAsia="Times New Roman" w:hAnsi="CMR10" w:cs="Times New Roman"/>
          <w:color w:val="000000"/>
          <w:sz w:val="20"/>
          <w:szCs w:val="20"/>
          <w:u w:color="000000"/>
          <w:bdr w:val="nil"/>
        </w:rPr>
        <w:tab/>
        <w:t xml:space="preserve"> </w:t>
      </w:r>
      <w:r w:rsidRPr="00A1540B">
        <w:rPr>
          <w:rFonts w:ascii="CMR10" w:eastAsia="Times New Roman" w:hAnsi="CMR10" w:cs="Times New Roman"/>
          <w:color w:val="000000"/>
          <w:sz w:val="20"/>
          <w:szCs w:val="20"/>
          <w:u w:color="000000"/>
          <w:bdr w:val="nil"/>
        </w:rPr>
        <w:tab/>
      </w:r>
      <w:r w:rsidR="005F5973" w:rsidRPr="00A1540B">
        <w:rPr>
          <w:rFonts w:ascii="CMR10" w:eastAsia="Times New Roman" w:hAnsi="CMR10" w:cs="Times New Roman"/>
          <w:color w:val="000000"/>
          <w:sz w:val="20"/>
          <w:szCs w:val="20"/>
          <w:u w:color="000000"/>
          <w:bdr w:val="nil"/>
        </w:rPr>
        <w:t xml:space="preserve">61 days </w:t>
      </w:r>
    </w:p>
    <w:p w14:paraId="6E2ACA83" w14:textId="48BE047B" w:rsidR="005F5973" w:rsidRPr="00A1540B" w:rsidRDefault="005F5973" w:rsidP="00355138">
      <w:pPr>
        <w:numPr>
          <w:ilvl w:val="1"/>
          <w:numId w:val="20"/>
        </w:numPr>
        <w:tabs>
          <w:tab w:val="clear" w:pos="1440"/>
        </w:tabs>
        <w:ind w:left="810"/>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Release daily</w:t>
      </w:r>
      <w:r w:rsidR="006A215D" w:rsidRPr="00A1540B">
        <w:rPr>
          <w:rFonts w:ascii="CMR10" w:eastAsia="Times New Roman" w:hAnsi="CMR10" w:cs="Times New Roman"/>
          <w:color w:val="000000"/>
          <w:sz w:val="20"/>
          <w:szCs w:val="20"/>
          <w:u w:color="000000"/>
          <w:bdr w:val="nil"/>
        </w:rPr>
        <w:t xml:space="preserve"> </w:t>
      </w:r>
      <w:r w:rsidR="006A215D" w:rsidRPr="00A1540B">
        <w:rPr>
          <w:rFonts w:ascii="CMR10" w:eastAsia="Times New Roman" w:hAnsi="CMR10" w:cs="Times New Roman"/>
          <w:color w:val="000000"/>
          <w:sz w:val="20"/>
          <w:szCs w:val="20"/>
          <w:u w:color="000000"/>
          <w:bdr w:val="nil"/>
        </w:rPr>
        <w:tab/>
        <w:t xml:space="preserve"> </w:t>
      </w:r>
      <w:r w:rsidRPr="00A1540B">
        <w:rPr>
          <w:rFonts w:ascii="CMR10" w:eastAsia="Times New Roman" w:hAnsi="CMR10" w:cs="Times New Roman"/>
          <w:color w:val="000000"/>
          <w:sz w:val="20"/>
          <w:szCs w:val="20"/>
          <w:u w:color="000000"/>
          <w:bdr w:val="nil"/>
        </w:rPr>
        <w:tab/>
        <w:t>365 opportunities each year</w:t>
      </w:r>
    </w:p>
    <w:p w14:paraId="170E7DE1" w14:textId="35F2E062" w:rsidR="005F5973" w:rsidRPr="00A1540B" w:rsidRDefault="005F5973" w:rsidP="00355138">
      <w:pPr>
        <w:numPr>
          <w:ilvl w:val="1"/>
          <w:numId w:val="21"/>
        </w:numPr>
        <w:tabs>
          <w:tab w:val="clear" w:pos="1440"/>
        </w:tabs>
        <w:ind w:left="810"/>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 xml:space="preserve">Massive </w:t>
      </w:r>
      <w:proofErr w:type="gramStart"/>
      <w:r w:rsidRPr="00A1540B">
        <w:rPr>
          <w:rFonts w:ascii="CMR10" w:eastAsia="Times New Roman" w:hAnsi="CMR10" w:cs="Times New Roman"/>
          <w:color w:val="000000"/>
          <w:sz w:val="20"/>
          <w:szCs w:val="20"/>
          <w:u w:color="000000"/>
          <w:bdr w:val="nil"/>
        </w:rPr>
        <w:t>tonnes</w:t>
      </w:r>
      <w:r w:rsidR="006A215D" w:rsidRPr="00A1540B">
        <w:rPr>
          <w:rFonts w:ascii="CMR10" w:eastAsia="Times New Roman" w:hAnsi="CMR10" w:cs="Times New Roman"/>
          <w:color w:val="000000"/>
          <w:sz w:val="20"/>
          <w:szCs w:val="20"/>
          <w:u w:color="000000"/>
          <w:bdr w:val="nil"/>
        </w:rPr>
        <w:t xml:space="preserve">  </w:t>
      </w:r>
      <w:r w:rsidRPr="00A1540B">
        <w:rPr>
          <w:rFonts w:ascii="CMR10" w:eastAsia="Times New Roman" w:hAnsi="CMR10" w:cs="Times New Roman"/>
          <w:color w:val="000000"/>
          <w:sz w:val="20"/>
          <w:szCs w:val="20"/>
          <w:u w:color="000000"/>
          <w:bdr w:val="nil"/>
        </w:rPr>
        <w:tab/>
      </w:r>
      <w:proofErr w:type="gramEnd"/>
      <w:r w:rsidRPr="00A1540B">
        <w:rPr>
          <w:rFonts w:ascii="CMR10" w:eastAsia="Times New Roman" w:hAnsi="CMR10" w:cs="Times New Roman"/>
          <w:color w:val="000000"/>
          <w:sz w:val="20"/>
          <w:szCs w:val="20"/>
          <w:u w:color="000000"/>
          <w:bdr w:val="nil"/>
        </w:rPr>
        <w:t>170,000 tonnes per year to GEO and Beyond</w:t>
      </w:r>
    </w:p>
    <w:p w14:paraId="56DC37B9" w14:textId="1C30808E" w:rsidR="005F5973" w:rsidRPr="00A1540B" w:rsidRDefault="005F5973" w:rsidP="005F5973">
      <w:pPr>
        <w:rPr>
          <w:rFonts w:ascii="CMR10" w:eastAsia="Times New Roman" w:hAnsi="CMR10" w:cs="Times New Roman"/>
          <w:color w:val="000000"/>
          <w:sz w:val="20"/>
          <w:szCs w:val="20"/>
          <w:u w:color="000000"/>
          <w:bdr w:val="nil"/>
        </w:rPr>
      </w:pPr>
    </w:p>
    <w:p w14:paraId="57B0BF91" w14:textId="6696B3FC" w:rsidR="00C64F9F" w:rsidRPr="00A1540B" w:rsidRDefault="00B46501" w:rsidP="00255CB4">
      <w:pPr>
        <w:autoSpaceDE w:val="0"/>
        <w:autoSpaceDN w:val="0"/>
        <w:adjustRightInd w:val="0"/>
        <w:rPr>
          <w:rFonts w:ascii="CMR10" w:eastAsia="Times New Roman" w:hAnsi="CMR10" w:cs="Times New Roman"/>
          <w:color w:val="000000"/>
          <w:sz w:val="20"/>
          <w:szCs w:val="20"/>
          <w:u w:color="000000"/>
          <w:bdr w:val="nil"/>
        </w:rPr>
      </w:pPr>
      <w:r w:rsidRPr="00B46501">
        <w:rPr>
          <w:noProof/>
        </w:rPr>
        <w:drawing>
          <wp:anchor distT="0" distB="0" distL="114300" distR="114300" simplePos="0" relativeHeight="251660288" behindDoc="0" locked="0" layoutInCell="1" allowOverlap="1" wp14:anchorId="14C28939" wp14:editId="4AF36DF6">
            <wp:simplePos x="0" y="0"/>
            <wp:positionH relativeFrom="margin">
              <wp:align>right</wp:align>
            </wp:positionH>
            <wp:positionV relativeFrom="margin">
              <wp:align>top</wp:align>
            </wp:positionV>
            <wp:extent cx="4267200" cy="1113155"/>
            <wp:effectExtent l="0" t="0" r="0" b="4445"/>
            <wp:wrapSquare wrapText="bothSides"/>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1113155"/>
                    </a:xfrm>
                    <a:prstGeom prst="rect">
                      <a:avLst/>
                    </a:prstGeom>
                    <a:noFill/>
                    <a:ln>
                      <a:noFill/>
                    </a:ln>
                  </pic:spPr>
                </pic:pic>
              </a:graphicData>
            </a:graphic>
          </wp:anchor>
        </w:drawing>
      </w:r>
      <w:r w:rsidR="006A215D">
        <w:rPr>
          <w:rFonts w:eastAsia="Times New Roman"/>
          <w:b/>
          <w:i/>
          <w:iCs/>
        </w:rPr>
        <w:t>3</w:t>
      </w:r>
      <w:r w:rsidR="006260DB" w:rsidRPr="001D6347">
        <w:rPr>
          <w:rFonts w:eastAsia="Times New Roman"/>
          <w:b/>
          <w:i/>
          <w:iCs/>
        </w:rPr>
        <w:t>.</w:t>
      </w:r>
      <w:r w:rsidR="009B6FA9">
        <w:rPr>
          <w:rFonts w:eastAsia="Times New Roman"/>
          <w:b/>
          <w:i/>
          <w:iCs/>
        </w:rPr>
        <w:t>0</w:t>
      </w:r>
      <w:r w:rsidR="006260DB" w:rsidRPr="001D6347">
        <w:rPr>
          <w:rFonts w:eastAsia="Times New Roman"/>
          <w:b/>
          <w:i/>
          <w:iCs/>
        </w:rPr>
        <w:tab/>
      </w:r>
      <w:r w:rsidR="006260DB" w:rsidRPr="009355F1">
        <w:rPr>
          <w:rFonts w:eastAsia="Times New Roman"/>
          <w:b/>
          <w:i/>
          <w:iCs/>
        </w:rPr>
        <w:t xml:space="preserve">Space Elevator Transportation System – </w:t>
      </w:r>
      <w:r w:rsidR="009B6FA9">
        <w:rPr>
          <w:rFonts w:eastAsia="Times New Roman"/>
          <w:b/>
          <w:i/>
          <w:iCs/>
        </w:rPr>
        <w:t xml:space="preserve">Development </w:t>
      </w:r>
      <w:proofErr w:type="gramStart"/>
      <w:r w:rsidR="00BE20CD">
        <w:rPr>
          <w:rFonts w:eastAsia="Times New Roman"/>
          <w:b/>
          <w:i/>
          <w:iCs/>
        </w:rPr>
        <w:t>Phases</w:t>
      </w:r>
      <w:r w:rsidR="006260DB" w:rsidRPr="009355F1">
        <w:rPr>
          <w:rFonts w:eastAsia="Times New Roman"/>
          <w:b/>
          <w:i/>
          <w:iCs/>
        </w:rPr>
        <w:t xml:space="preserve"> </w:t>
      </w:r>
      <w:r w:rsidR="006260DB" w:rsidRPr="001D6347">
        <w:rPr>
          <w:rFonts w:eastAsia="Times New Roman"/>
          <w:b/>
          <w:i/>
          <w:iCs/>
        </w:rPr>
        <w:t>:</w:t>
      </w:r>
      <w:proofErr w:type="gramEnd"/>
      <w:r w:rsidR="006260DB">
        <w:rPr>
          <w:rFonts w:asciiTheme="majorHAnsi" w:eastAsia="Times New Roman" w:hAnsiTheme="majorHAnsi"/>
        </w:rPr>
        <w:tab/>
      </w:r>
      <w:r w:rsidR="00E43E0D" w:rsidRPr="00A1540B">
        <w:rPr>
          <w:rFonts w:ascii="CMR10" w:eastAsia="Times New Roman" w:hAnsi="CMR10" w:cs="Times New Roman"/>
          <w:color w:val="000000"/>
          <w:sz w:val="20"/>
          <w:szCs w:val="20"/>
          <w:u w:color="000000"/>
          <w:bdr w:val="nil"/>
        </w:rPr>
        <w:t xml:space="preserve">Over the last ten years, the Space Elevator community has recognized that it has taken the concept through the feasibility stage of maturity and has shown that it can be built.  </w:t>
      </w:r>
      <w:r w:rsidR="00C64F9F" w:rsidRPr="00A1540B">
        <w:rPr>
          <w:rFonts w:ascii="CMR10" w:eastAsia="Times New Roman" w:hAnsi="CMR10" w:cs="Times New Roman"/>
          <w:color w:val="000000"/>
          <w:sz w:val="20"/>
          <w:szCs w:val="20"/>
          <w:u w:color="000000"/>
          <w:bdr w:val="nil"/>
        </w:rPr>
        <w:t xml:space="preserve">The </w:t>
      </w:r>
      <w:r w:rsidR="00E43E0D" w:rsidRPr="00A1540B">
        <w:rPr>
          <w:rFonts w:ascii="CMR10" w:eastAsia="Times New Roman" w:hAnsi="CMR10" w:cs="Times New Roman"/>
          <w:color w:val="000000"/>
          <w:sz w:val="20"/>
          <w:szCs w:val="20"/>
          <w:u w:color="000000"/>
          <w:bdr w:val="nil"/>
        </w:rPr>
        <w:t>four stages are laid out in the figure below with the arrow pointing to our current location in development</w:t>
      </w:r>
      <w:r w:rsidR="00355138" w:rsidRPr="00A1540B">
        <w:rPr>
          <w:rFonts w:ascii="CMR10" w:eastAsia="Times New Roman" w:hAnsi="CMR10" w:cs="Times New Roman"/>
          <w:color w:val="000000"/>
          <w:sz w:val="20"/>
          <w:szCs w:val="20"/>
          <w:u w:color="000000"/>
          <w:bdr w:val="nil"/>
        </w:rPr>
        <w:t xml:space="preserve"> of this mega project</w:t>
      </w:r>
      <w:r w:rsidR="00E43E0D" w:rsidRPr="00A1540B">
        <w:rPr>
          <w:rFonts w:ascii="CMR10" w:eastAsia="Times New Roman" w:hAnsi="CMR10" w:cs="Times New Roman"/>
          <w:color w:val="000000"/>
          <w:sz w:val="20"/>
          <w:szCs w:val="20"/>
          <w:u w:color="000000"/>
          <w:bdr w:val="nil"/>
        </w:rPr>
        <w:t>.   We have accomplished the</w:t>
      </w:r>
      <w:r w:rsidR="00355138" w:rsidRPr="00A1540B">
        <w:rPr>
          <w:rFonts w:ascii="CMR10" w:eastAsia="Times New Roman" w:hAnsi="CMR10" w:cs="Times New Roman"/>
          <w:color w:val="000000"/>
          <w:sz w:val="20"/>
          <w:szCs w:val="20"/>
          <w:u w:color="000000"/>
          <w:bdr w:val="nil"/>
        </w:rPr>
        <w:t xml:space="preserve"> </w:t>
      </w:r>
      <w:r w:rsidR="00E43E0D" w:rsidRPr="00A1540B">
        <w:rPr>
          <w:rFonts w:ascii="CMR10" w:eastAsia="Times New Roman" w:hAnsi="CMR10" w:cs="Times New Roman"/>
          <w:color w:val="000000"/>
          <w:sz w:val="20"/>
          <w:szCs w:val="20"/>
          <w:u w:color="000000"/>
          <w:bdr w:val="nil"/>
        </w:rPr>
        <w:t>technology investigation stage and moved into the “show me”</w:t>
      </w:r>
      <w:r w:rsidR="00C64F9F" w:rsidRPr="00A1540B">
        <w:rPr>
          <w:rFonts w:ascii="CMR10" w:eastAsia="Times New Roman" w:hAnsi="CMR10" w:cs="Times New Roman"/>
          <w:color w:val="000000"/>
          <w:sz w:val="20"/>
          <w:szCs w:val="20"/>
          <w:u w:color="000000"/>
          <w:bdr w:val="nil"/>
        </w:rPr>
        <w:t xml:space="preserve"> </w:t>
      </w:r>
      <w:r w:rsidR="00E43E0D" w:rsidRPr="00A1540B">
        <w:rPr>
          <w:rFonts w:ascii="CMR10" w:eastAsia="Times New Roman" w:hAnsi="CMR10" w:cs="Times New Roman"/>
          <w:color w:val="000000"/>
          <w:sz w:val="20"/>
          <w:szCs w:val="20"/>
          <w:u w:color="000000"/>
          <w:bdr w:val="nil"/>
        </w:rPr>
        <w:t xml:space="preserve">stage where a taxonomy of tests demonstrations and simulations will be accomplished.  </w:t>
      </w:r>
    </w:p>
    <w:p w14:paraId="2AB5C7BB" w14:textId="77777777" w:rsidR="00D95B91" w:rsidRPr="00A1540B" w:rsidRDefault="00D95B91" w:rsidP="00786B84">
      <w:pPr>
        <w:autoSpaceDE w:val="0"/>
        <w:autoSpaceDN w:val="0"/>
        <w:adjustRightInd w:val="0"/>
        <w:rPr>
          <w:rFonts w:ascii="CMR10" w:eastAsia="Times New Roman" w:hAnsi="CMR10" w:cs="Times New Roman"/>
          <w:color w:val="000000"/>
          <w:sz w:val="20"/>
          <w:szCs w:val="20"/>
          <w:u w:color="000000"/>
          <w:bdr w:val="nil"/>
        </w:rPr>
      </w:pPr>
    </w:p>
    <w:p w14:paraId="67BB68A6" w14:textId="0DEE1074" w:rsidR="00D95B91" w:rsidRPr="00A1540B" w:rsidRDefault="00D95B91" w:rsidP="00786B84">
      <w:pPr>
        <w:autoSpaceDE w:val="0"/>
        <w:autoSpaceDN w:val="0"/>
        <w:adjustRightInd w:val="0"/>
        <w:rPr>
          <w:rFonts w:ascii="CMR10" w:eastAsia="Times New Roman" w:hAnsi="CMR10" w:cs="Times New Roman"/>
          <w:color w:val="000000"/>
          <w:sz w:val="20"/>
          <w:szCs w:val="20"/>
          <w:u w:color="000000"/>
          <w:bdr w:val="nil"/>
        </w:rPr>
      </w:pPr>
      <w:r w:rsidRPr="00A1540B">
        <w:rPr>
          <w:rFonts w:ascii="CMR10" w:eastAsia="Times New Roman" w:hAnsi="CMR10" w:cs="Times New Roman"/>
          <w:noProof/>
          <w:color w:val="000000"/>
          <w:sz w:val="20"/>
          <w:szCs w:val="20"/>
          <w:u w:color="000000"/>
          <w:bdr w:val="nil"/>
        </w:rPr>
        <w:drawing>
          <wp:inline distT="0" distB="0" distL="0" distR="0" wp14:anchorId="00F9E2C6" wp14:editId="58C42016">
            <wp:extent cx="5486400" cy="14700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1470025"/>
                    </a:xfrm>
                    <a:prstGeom prst="rect">
                      <a:avLst/>
                    </a:prstGeom>
                  </pic:spPr>
                </pic:pic>
              </a:graphicData>
            </a:graphic>
          </wp:inline>
        </w:drawing>
      </w:r>
    </w:p>
    <w:p w14:paraId="7C0F8068" w14:textId="770FD5DD" w:rsidR="00D95B91" w:rsidRPr="00A1540B" w:rsidRDefault="00D95B91" w:rsidP="00786B84">
      <w:pPr>
        <w:autoSpaceDE w:val="0"/>
        <w:autoSpaceDN w:val="0"/>
        <w:adjustRightInd w:val="0"/>
        <w:rPr>
          <w:rFonts w:ascii="CMR10" w:eastAsia="Times New Roman" w:hAnsi="CMR10" w:cs="Times New Roman"/>
          <w:color w:val="000000"/>
          <w:sz w:val="20"/>
          <w:szCs w:val="20"/>
          <w:u w:color="000000"/>
          <w:bdr w:val="nil"/>
        </w:rPr>
      </w:pPr>
    </w:p>
    <w:p w14:paraId="59BE40C4" w14:textId="76459187" w:rsidR="00D95B91" w:rsidRPr="00A1540B" w:rsidRDefault="00D95B91" w:rsidP="00D95B91">
      <w:pPr>
        <w:autoSpaceDE w:val="0"/>
        <w:autoSpaceDN w:val="0"/>
        <w:adjustRightInd w:val="0"/>
        <w:jc w:val="both"/>
        <w:rPr>
          <w:rFonts w:ascii="CMR10" w:eastAsia="Times New Roman" w:hAnsi="CMR10" w:cs="Times New Roman"/>
          <w:color w:val="000000"/>
          <w:sz w:val="20"/>
          <w:szCs w:val="20"/>
          <w:u w:color="000000"/>
          <w:bdr w:val="nil"/>
        </w:rPr>
      </w:pPr>
      <w:r w:rsidRPr="00255CB4">
        <w:rPr>
          <w:rFonts w:eastAsia="Times New Roman"/>
          <w:b/>
          <w:i/>
          <w:iCs/>
          <w:color w:val="000000" w:themeColor="text1"/>
        </w:rPr>
        <w:t>3.1</w:t>
      </w:r>
      <w:r w:rsidRPr="00255CB4">
        <w:rPr>
          <w:rFonts w:eastAsia="Times New Roman"/>
          <w:b/>
          <w:i/>
          <w:iCs/>
          <w:color w:val="000000" w:themeColor="text1"/>
        </w:rPr>
        <w:tab/>
        <w:t>Leaving Technology Feasibility:</w:t>
      </w:r>
      <w:r w:rsidRPr="00255CB4">
        <w:rPr>
          <w:rFonts w:eastAsia="Times New Roman"/>
          <w:b/>
          <w:i/>
          <w:iCs/>
          <w:color w:val="000000" w:themeColor="text1"/>
        </w:rPr>
        <w:tab/>
      </w:r>
      <w:r w:rsidRPr="00A1540B">
        <w:rPr>
          <w:rFonts w:ascii="CMR10" w:eastAsia="Times New Roman" w:hAnsi="CMR10" w:cs="Times New Roman"/>
          <w:color w:val="000000"/>
          <w:sz w:val="20"/>
          <w:szCs w:val="20"/>
          <w:u w:color="000000"/>
          <w:bdr w:val="nil"/>
        </w:rPr>
        <w:t xml:space="preserve">As explained earlier, the Technical Readiness Assessment was accomplished at the preliminary level and illustrated in the two IAA reports.  The movement into the second stage of maturity was successful and illustrated during the IAA study </w:t>
      </w:r>
      <w:r w:rsidRPr="00A1540B">
        <w:rPr>
          <w:rFonts w:ascii="CMR10" w:eastAsia="Times New Roman" w:hAnsi="CMR10" w:cs="Times New Roman"/>
          <w:color w:val="000000"/>
          <w:sz w:val="20"/>
          <w:szCs w:val="20"/>
          <w:u w:color="000000"/>
          <w:bdr w:val="nil"/>
        </w:rPr>
        <w:lastRenderedPageBreak/>
        <w:t>(2013).  Table X shows the conclusions from the study agreeing with the concept of moving into Engineering Validation Stage.</w:t>
      </w:r>
    </w:p>
    <w:p w14:paraId="65ECCE51" w14:textId="77777777" w:rsidR="00355138" w:rsidRPr="00A1540B" w:rsidRDefault="00355138" w:rsidP="00D95B91">
      <w:pPr>
        <w:autoSpaceDE w:val="0"/>
        <w:autoSpaceDN w:val="0"/>
        <w:adjustRightInd w:val="0"/>
        <w:jc w:val="both"/>
        <w:rPr>
          <w:rFonts w:ascii="CMR10" w:eastAsia="Times New Roman" w:hAnsi="CMR10" w:cs="Times New Roman"/>
          <w:color w:val="000000"/>
          <w:sz w:val="20"/>
          <w:szCs w:val="20"/>
          <w:u w:color="000000"/>
          <w:bdr w:val="nil"/>
        </w:rPr>
      </w:pPr>
    </w:p>
    <w:p w14:paraId="72C77AD6" w14:textId="27A62051" w:rsidR="00D95B91" w:rsidRPr="00A1540B" w:rsidRDefault="00355138" w:rsidP="00355138">
      <w:pPr>
        <w:autoSpaceDE w:val="0"/>
        <w:autoSpaceDN w:val="0"/>
        <w:adjustRightInd w:val="0"/>
        <w:jc w:val="center"/>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Table X:  Study Results</w:t>
      </w:r>
    </w:p>
    <w:tbl>
      <w:tblPr>
        <w:tblStyle w:val="TableGrid"/>
        <w:tblW w:w="0" w:type="auto"/>
        <w:tblLook w:val="04A0" w:firstRow="1" w:lastRow="0" w:firstColumn="1" w:lastColumn="0" w:noHBand="0" w:noVBand="1"/>
      </w:tblPr>
      <w:tblGrid>
        <w:gridCol w:w="2695"/>
        <w:gridCol w:w="5935"/>
      </w:tblGrid>
      <w:tr w:rsidR="00D95B91" w:rsidRPr="00A1540B" w14:paraId="10186871" w14:textId="77777777" w:rsidTr="00AC386A">
        <w:tc>
          <w:tcPr>
            <w:tcW w:w="2695" w:type="dxa"/>
          </w:tcPr>
          <w:p w14:paraId="2193FB41" w14:textId="77777777" w:rsidR="00D95B91" w:rsidRPr="00A1540B" w:rsidRDefault="00D95B91" w:rsidP="00AC386A">
            <w:pPr>
              <w:jc w:val="center"/>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Space Elevator</w:t>
            </w:r>
          </w:p>
          <w:p w14:paraId="451AAC14" w14:textId="77777777" w:rsidR="00D95B91" w:rsidRPr="00A1540B" w:rsidRDefault="00D95B91" w:rsidP="00AC386A">
            <w:pPr>
              <w:jc w:val="center"/>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Segment</w:t>
            </w:r>
          </w:p>
        </w:tc>
        <w:tc>
          <w:tcPr>
            <w:tcW w:w="5935" w:type="dxa"/>
          </w:tcPr>
          <w:p w14:paraId="2B484F56" w14:textId="77777777" w:rsidR="00D95B91" w:rsidRPr="00A1540B" w:rsidRDefault="00D95B91" w:rsidP="00AC386A">
            <w:pPr>
              <w:jc w:val="center"/>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Conclusion from the IAA study</w:t>
            </w:r>
          </w:p>
        </w:tc>
      </w:tr>
      <w:tr w:rsidR="00D95B91" w:rsidRPr="00A1540B" w14:paraId="4B1EDF54" w14:textId="77777777" w:rsidTr="00AC386A">
        <w:tc>
          <w:tcPr>
            <w:tcW w:w="2695" w:type="dxa"/>
          </w:tcPr>
          <w:p w14:paraId="136B747F" w14:textId="77777777"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Earth Port</w:t>
            </w:r>
          </w:p>
        </w:tc>
        <w:tc>
          <w:tcPr>
            <w:tcW w:w="5935" w:type="dxa"/>
          </w:tcPr>
          <w:p w14:paraId="1C60DD84" w14:textId="77777777"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Ready for engineering validation program</w:t>
            </w:r>
          </w:p>
        </w:tc>
      </w:tr>
      <w:tr w:rsidR="00D95B91" w:rsidRPr="00A1540B" w14:paraId="05EB7A8C" w14:textId="77777777" w:rsidTr="00AC386A">
        <w:tc>
          <w:tcPr>
            <w:tcW w:w="2695" w:type="dxa"/>
          </w:tcPr>
          <w:p w14:paraId="7A6A7334" w14:textId="77777777"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HQ &amp; Primary Ops Center</w:t>
            </w:r>
          </w:p>
        </w:tc>
        <w:tc>
          <w:tcPr>
            <w:tcW w:w="5935" w:type="dxa"/>
          </w:tcPr>
          <w:p w14:paraId="60D27BFD" w14:textId="77777777"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Ready to start an engineering validation program</w:t>
            </w:r>
          </w:p>
        </w:tc>
      </w:tr>
      <w:tr w:rsidR="00D95B91" w:rsidRPr="00A1540B" w14:paraId="50AD0E70" w14:textId="77777777" w:rsidTr="00AC386A">
        <w:tc>
          <w:tcPr>
            <w:tcW w:w="2695" w:type="dxa"/>
          </w:tcPr>
          <w:p w14:paraId="35C8F3F9" w14:textId="77777777"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Tether Climber</w:t>
            </w:r>
          </w:p>
        </w:tc>
        <w:tc>
          <w:tcPr>
            <w:tcW w:w="5935" w:type="dxa"/>
          </w:tcPr>
          <w:p w14:paraId="79446A40" w14:textId="77777777"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Engineering model assemblies needed – then start validation program</w:t>
            </w:r>
          </w:p>
        </w:tc>
      </w:tr>
      <w:tr w:rsidR="00D95B91" w:rsidRPr="00A1540B" w14:paraId="2B3B4D10" w14:textId="77777777" w:rsidTr="00AC386A">
        <w:tc>
          <w:tcPr>
            <w:tcW w:w="2695" w:type="dxa"/>
          </w:tcPr>
          <w:p w14:paraId="1A0FBBD3" w14:textId="77777777"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Geosynchronous Node</w:t>
            </w:r>
          </w:p>
        </w:tc>
        <w:tc>
          <w:tcPr>
            <w:tcW w:w="5935" w:type="dxa"/>
          </w:tcPr>
          <w:p w14:paraId="68A55F06" w14:textId="77777777"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Engineering discussions and demonstrations with key members of industry are needed to establish collaboration</w:t>
            </w:r>
          </w:p>
        </w:tc>
      </w:tr>
      <w:tr w:rsidR="00D95B91" w:rsidRPr="00A1540B" w14:paraId="2DC26DDF" w14:textId="77777777" w:rsidTr="00AC386A">
        <w:tc>
          <w:tcPr>
            <w:tcW w:w="2695" w:type="dxa"/>
          </w:tcPr>
          <w:p w14:paraId="1D081729" w14:textId="77777777"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Apex Anchor</w:t>
            </w:r>
          </w:p>
        </w:tc>
        <w:tc>
          <w:tcPr>
            <w:tcW w:w="5935" w:type="dxa"/>
          </w:tcPr>
          <w:p w14:paraId="5A6D4A26" w14:textId="77777777"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Engineering discussions and various simulations are needed – then collaboration with engineering organizations and academia should begin.</w:t>
            </w:r>
          </w:p>
        </w:tc>
      </w:tr>
      <w:tr w:rsidR="00D95B91" w:rsidRPr="00A1540B" w14:paraId="4586386E" w14:textId="77777777" w:rsidTr="00AC386A">
        <w:tc>
          <w:tcPr>
            <w:tcW w:w="2695" w:type="dxa"/>
          </w:tcPr>
          <w:p w14:paraId="16FDC43A" w14:textId="77777777"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Tether Material</w:t>
            </w:r>
          </w:p>
        </w:tc>
        <w:tc>
          <w:tcPr>
            <w:tcW w:w="5935" w:type="dxa"/>
          </w:tcPr>
          <w:p w14:paraId="205DB219" w14:textId="4E9549E2"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Prime material candidate has been identified</w:t>
            </w:r>
            <w:r w:rsidR="00355138" w:rsidRPr="00A1540B">
              <w:rPr>
                <w:rFonts w:ascii="CMR10" w:eastAsia="Times New Roman" w:hAnsi="CMR10" w:cs="Times New Roman"/>
                <w:color w:val="000000"/>
                <w:sz w:val="20"/>
                <w:szCs w:val="20"/>
                <w:u w:color="000000"/>
                <w:bdr w:val="nil"/>
              </w:rPr>
              <w:t>; laboratory segments have been developed and tested;</w:t>
            </w:r>
            <w:r w:rsidRPr="00A1540B">
              <w:rPr>
                <w:rFonts w:ascii="CMR10" w:eastAsia="Times New Roman" w:hAnsi="CMR10" w:cs="Times New Roman"/>
                <w:color w:val="000000"/>
                <w:sz w:val="20"/>
                <w:szCs w:val="20"/>
                <w:u w:color="000000"/>
                <w:bdr w:val="nil"/>
              </w:rPr>
              <w:t xml:space="preserve"> and</w:t>
            </w:r>
            <w:r w:rsidR="00355138" w:rsidRPr="00A1540B">
              <w:rPr>
                <w:rFonts w:ascii="CMR10" w:eastAsia="Times New Roman" w:hAnsi="CMR10" w:cs="Times New Roman"/>
                <w:color w:val="000000"/>
                <w:sz w:val="20"/>
                <w:szCs w:val="20"/>
                <w:u w:color="000000"/>
                <w:bdr w:val="nil"/>
              </w:rPr>
              <w:t>,</w:t>
            </w:r>
            <w:r w:rsidRPr="00A1540B">
              <w:rPr>
                <w:rFonts w:ascii="CMR10" w:eastAsia="Times New Roman" w:hAnsi="CMR10" w:cs="Times New Roman"/>
                <w:color w:val="000000"/>
                <w:sz w:val="20"/>
                <w:szCs w:val="20"/>
                <w:u w:color="000000"/>
                <w:bdr w:val="nil"/>
              </w:rPr>
              <w:t xml:space="preserve"> production demonstrations must be initiated.</w:t>
            </w:r>
          </w:p>
        </w:tc>
      </w:tr>
      <w:tr w:rsidR="00D95B91" w:rsidRPr="00A1540B" w14:paraId="00DD0DD4" w14:textId="77777777" w:rsidTr="00AC386A">
        <w:tc>
          <w:tcPr>
            <w:tcW w:w="2695" w:type="dxa"/>
          </w:tcPr>
          <w:p w14:paraId="492FBB83" w14:textId="77777777"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Collision Avoidance</w:t>
            </w:r>
          </w:p>
        </w:tc>
        <w:tc>
          <w:tcPr>
            <w:tcW w:w="5935" w:type="dxa"/>
          </w:tcPr>
          <w:p w14:paraId="47396B7A" w14:textId="77777777" w:rsidR="00D95B91" w:rsidRPr="00A1540B" w:rsidRDefault="00D95B91" w:rsidP="00AC386A">
            <w:pPr>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Architectural engineering definition is being finalized. Candidate concepts are identified. On orbit performance demonstrations are needed.</w:t>
            </w:r>
          </w:p>
        </w:tc>
      </w:tr>
    </w:tbl>
    <w:p w14:paraId="72FAF765" w14:textId="52A0C332" w:rsidR="00C64F9F" w:rsidRPr="00255CB4" w:rsidRDefault="00C64F9F" w:rsidP="00786B84">
      <w:pPr>
        <w:autoSpaceDE w:val="0"/>
        <w:autoSpaceDN w:val="0"/>
        <w:adjustRightInd w:val="0"/>
        <w:rPr>
          <w:color w:val="000000" w:themeColor="text1"/>
        </w:rPr>
      </w:pPr>
    </w:p>
    <w:p w14:paraId="7C6D3C0A" w14:textId="0CF6D8EA" w:rsidR="00D95B91" w:rsidRPr="00255CB4" w:rsidRDefault="00D95B91" w:rsidP="00786B84">
      <w:pPr>
        <w:autoSpaceDE w:val="0"/>
        <w:autoSpaceDN w:val="0"/>
        <w:adjustRightInd w:val="0"/>
        <w:rPr>
          <w:color w:val="000000" w:themeColor="text1"/>
        </w:rPr>
      </w:pPr>
      <w:r w:rsidRPr="00255CB4">
        <w:rPr>
          <w:rFonts w:eastAsia="Times New Roman"/>
          <w:b/>
          <w:i/>
          <w:iCs/>
          <w:color w:val="000000" w:themeColor="text1"/>
        </w:rPr>
        <w:t>3.2</w:t>
      </w:r>
      <w:r w:rsidRPr="00255CB4">
        <w:rPr>
          <w:rFonts w:eastAsia="Times New Roman"/>
          <w:b/>
          <w:i/>
          <w:iCs/>
          <w:color w:val="000000" w:themeColor="text1"/>
        </w:rPr>
        <w:tab/>
        <w:t>Entering Engineering Validation:</w:t>
      </w:r>
    </w:p>
    <w:p w14:paraId="2DDD2AA3" w14:textId="50404615" w:rsidR="00D95B91" w:rsidRPr="00A1540B" w:rsidRDefault="00D95B91" w:rsidP="00A1540B">
      <w:pPr>
        <w:autoSpaceDE w:val="0"/>
        <w:autoSpaceDN w:val="0"/>
        <w:adjustRightInd w:val="0"/>
        <w:jc w:val="both"/>
        <w:rPr>
          <w:rFonts w:ascii="CMR10" w:eastAsia="Times New Roman" w:hAnsi="CMR10" w:cs="Times New Roman"/>
          <w:color w:val="000000"/>
          <w:sz w:val="20"/>
          <w:szCs w:val="20"/>
          <w:u w:color="000000"/>
          <w:bdr w:val="nil"/>
        </w:rPr>
      </w:pPr>
      <w:r w:rsidRPr="00A1540B">
        <w:rPr>
          <w:rFonts w:ascii="CMR10" w:eastAsia="Times New Roman" w:hAnsi="CMR10" w:cs="Times New Roman"/>
          <w:color w:val="000000"/>
          <w:sz w:val="20"/>
          <w:szCs w:val="20"/>
          <w:u w:color="000000"/>
          <w:bdr w:val="nil"/>
        </w:rPr>
        <w:t xml:space="preserve">The next step has been initiated to move into the Engineering Validation phase.  Galactic Harbour Associates has started that phase with activities that will lead to the full up development plan.  The plan for this development resulting in a vision that reaches across the space arena by providing a set of permanent space access infrastructures around the globe.  During the study of roadmaps, the team came to the conclusion that moving into the hardware deployment stage would need many of the sub-system and system level demonstrations that have been discussed.  As such, the document laid out many capstone </w:t>
      </w:r>
      <w:r w:rsidR="003C42AD" w:rsidRPr="00A1540B">
        <w:rPr>
          <w:rFonts w:ascii="CMR10" w:eastAsia="Times New Roman" w:hAnsi="CMR10" w:cs="Times New Roman"/>
          <w:color w:val="000000"/>
          <w:sz w:val="20"/>
          <w:szCs w:val="20"/>
          <w:u w:color="000000"/>
          <w:bdr w:val="nil"/>
        </w:rPr>
        <w:t>demonstrations that would pull together the challe</w:t>
      </w:r>
      <w:r w:rsidR="00355138" w:rsidRPr="00A1540B">
        <w:rPr>
          <w:rFonts w:ascii="CMR10" w:eastAsia="Times New Roman" w:hAnsi="CMR10" w:cs="Times New Roman"/>
          <w:color w:val="000000"/>
          <w:sz w:val="20"/>
          <w:szCs w:val="20"/>
          <w:u w:color="000000"/>
          <w:bdr w:val="nil"/>
        </w:rPr>
        <w:t>n</w:t>
      </w:r>
      <w:r w:rsidR="003C42AD" w:rsidRPr="00A1540B">
        <w:rPr>
          <w:rFonts w:ascii="CMR10" w:eastAsia="Times New Roman" w:hAnsi="CMR10" w:cs="Times New Roman"/>
          <w:color w:val="000000"/>
          <w:sz w:val="20"/>
          <w:szCs w:val="20"/>
          <w:u w:color="000000"/>
          <w:bdr w:val="nil"/>
        </w:rPr>
        <w:t>ges inside each major segment of the Space Elevator.  This roadmap lays out a plan that can be achieved within the reasonable schedule discussed in both the IAA books and the ISEC studies.  These roadmaps are consistent with the four stages of development for a mega project.  The first intermediate destination of the roadmap was the completion of the Preliminary Technology Readiness Assessment (move out of Stage One) while the second destination would be the aggressive initiation of the testing and demonstrations to support the engineering validation stage.  Many of the questions to be addressed in this stage of maturity are:</w:t>
      </w:r>
    </w:p>
    <w:p w14:paraId="56FD4BFA" w14:textId="4E589DBF" w:rsidR="003C42AD" w:rsidRPr="00A1540B" w:rsidRDefault="003C42AD" w:rsidP="00A1540B">
      <w:pPr>
        <w:autoSpaceDE w:val="0"/>
        <w:autoSpaceDN w:val="0"/>
        <w:adjustRightInd w:val="0"/>
        <w:jc w:val="both"/>
        <w:rPr>
          <w:rFonts w:ascii="CMR10" w:eastAsia="Times New Roman" w:hAnsi="CMR10" w:cs="Times New Roman"/>
          <w:color w:val="000000"/>
          <w:sz w:val="20"/>
          <w:szCs w:val="20"/>
          <w:u w:color="000000"/>
          <w:bdr w:val="nil"/>
        </w:rPr>
      </w:pPr>
    </w:p>
    <w:p w14:paraId="38A87FC1" w14:textId="5CF3C975" w:rsidR="003C42AD" w:rsidRPr="00A1540B" w:rsidRDefault="003C42AD" w:rsidP="00A1540B">
      <w:pPr>
        <w:pStyle w:val="ListParagraph"/>
        <w:numPr>
          <w:ilvl w:val="0"/>
          <w:numId w:val="28"/>
        </w:numPr>
        <w:autoSpaceDE w:val="0"/>
        <w:autoSpaceDN w:val="0"/>
        <w:adjustRightInd w:val="0"/>
        <w:jc w:val="both"/>
        <w:rPr>
          <w:rFonts w:ascii="CMR10" w:eastAsia="Times New Roman" w:hAnsi="CMR10" w:cs="Times New Roman"/>
          <w:sz w:val="20"/>
          <w:szCs w:val="20"/>
        </w:rPr>
      </w:pPr>
      <w:r w:rsidRPr="00A1540B">
        <w:rPr>
          <w:rFonts w:ascii="CMR10" w:eastAsia="Times New Roman" w:hAnsi="CMR10" w:cs="Times New Roman"/>
          <w:sz w:val="20"/>
          <w:szCs w:val="20"/>
        </w:rPr>
        <w:t>Can it be built?</w:t>
      </w:r>
    </w:p>
    <w:p w14:paraId="0F8478BB" w14:textId="3087E8FA" w:rsidR="003C42AD" w:rsidRPr="00A1540B" w:rsidRDefault="003C42AD" w:rsidP="00A1540B">
      <w:pPr>
        <w:pStyle w:val="ListParagraph"/>
        <w:numPr>
          <w:ilvl w:val="0"/>
          <w:numId w:val="28"/>
        </w:numPr>
        <w:autoSpaceDE w:val="0"/>
        <w:autoSpaceDN w:val="0"/>
        <w:adjustRightInd w:val="0"/>
        <w:jc w:val="both"/>
        <w:rPr>
          <w:rFonts w:ascii="CMR10" w:eastAsia="Times New Roman" w:hAnsi="CMR10" w:cs="Times New Roman"/>
          <w:sz w:val="20"/>
          <w:szCs w:val="20"/>
        </w:rPr>
      </w:pPr>
      <w:r w:rsidRPr="00A1540B">
        <w:rPr>
          <w:rFonts w:ascii="CMR10" w:eastAsia="Times New Roman" w:hAnsi="CMR10" w:cs="Times New Roman"/>
          <w:sz w:val="20"/>
          <w:szCs w:val="20"/>
        </w:rPr>
        <w:t>Examine Industry’s program roadmaps to support segment development</w:t>
      </w:r>
    </w:p>
    <w:p w14:paraId="69019D61" w14:textId="39C816AD" w:rsidR="003C42AD" w:rsidRPr="00A1540B" w:rsidRDefault="003C42AD" w:rsidP="00A1540B">
      <w:pPr>
        <w:pStyle w:val="ListParagraph"/>
        <w:numPr>
          <w:ilvl w:val="0"/>
          <w:numId w:val="28"/>
        </w:numPr>
        <w:autoSpaceDE w:val="0"/>
        <w:autoSpaceDN w:val="0"/>
        <w:adjustRightInd w:val="0"/>
        <w:jc w:val="both"/>
        <w:rPr>
          <w:rFonts w:ascii="CMR10" w:eastAsia="Times New Roman" w:hAnsi="CMR10" w:cs="Times New Roman"/>
          <w:sz w:val="20"/>
          <w:szCs w:val="20"/>
        </w:rPr>
      </w:pPr>
      <w:r w:rsidRPr="00A1540B">
        <w:rPr>
          <w:rFonts w:ascii="CMR10" w:eastAsia="Times New Roman" w:hAnsi="CMR10" w:cs="Times New Roman"/>
          <w:sz w:val="20"/>
          <w:szCs w:val="20"/>
        </w:rPr>
        <w:t>Assess the schedule and technical risks</w:t>
      </w:r>
    </w:p>
    <w:p w14:paraId="4C1ACCDA" w14:textId="27836381" w:rsidR="003C42AD" w:rsidRPr="00A1540B" w:rsidRDefault="003C42AD" w:rsidP="00A1540B">
      <w:pPr>
        <w:pStyle w:val="ListParagraph"/>
        <w:numPr>
          <w:ilvl w:val="0"/>
          <w:numId w:val="28"/>
        </w:numPr>
        <w:autoSpaceDE w:val="0"/>
        <w:autoSpaceDN w:val="0"/>
        <w:adjustRightInd w:val="0"/>
        <w:jc w:val="both"/>
        <w:rPr>
          <w:rFonts w:ascii="CMR10" w:eastAsia="Times New Roman" w:hAnsi="CMR10" w:cs="Times New Roman"/>
          <w:sz w:val="20"/>
          <w:szCs w:val="20"/>
        </w:rPr>
      </w:pPr>
      <w:r w:rsidRPr="00A1540B">
        <w:rPr>
          <w:rFonts w:ascii="CMR10" w:eastAsia="Times New Roman" w:hAnsi="CMR10" w:cs="Times New Roman"/>
          <w:sz w:val="20"/>
          <w:szCs w:val="20"/>
        </w:rPr>
        <w:t>Delineate on-ramp criteria for various “late incorporations” to the baseline</w:t>
      </w:r>
    </w:p>
    <w:p w14:paraId="768D1896" w14:textId="5EFA5B1B" w:rsidR="003C42AD" w:rsidRPr="00A1540B" w:rsidRDefault="003C42AD" w:rsidP="00A1540B">
      <w:pPr>
        <w:pStyle w:val="ListParagraph"/>
        <w:numPr>
          <w:ilvl w:val="0"/>
          <w:numId w:val="28"/>
        </w:numPr>
        <w:autoSpaceDE w:val="0"/>
        <w:autoSpaceDN w:val="0"/>
        <w:adjustRightInd w:val="0"/>
        <w:jc w:val="both"/>
        <w:rPr>
          <w:rFonts w:ascii="CMR10" w:eastAsia="Times New Roman" w:hAnsi="CMR10" w:cs="Times New Roman"/>
          <w:sz w:val="20"/>
          <w:szCs w:val="20"/>
        </w:rPr>
      </w:pPr>
      <w:r w:rsidRPr="00A1540B">
        <w:rPr>
          <w:rFonts w:ascii="CMR10" w:eastAsia="Times New Roman" w:hAnsi="CMR10" w:cs="Times New Roman"/>
          <w:sz w:val="20"/>
          <w:szCs w:val="20"/>
        </w:rPr>
        <w:t>Set criteria and standards for the design validation</w:t>
      </w:r>
    </w:p>
    <w:p w14:paraId="4585F1F3" w14:textId="0009DC2D" w:rsidR="003C42AD" w:rsidRPr="00A1540B" w:rsidRDefault="003C42AD" w:rsidP="00A1540B">
      <w:pPr>
        <w:pStyle w:val="ListParagraph"/>
        <w:numPr>
          <w:ilvl w:val="0"/>
          <w:numId w:val="28"/>
        </w:numPr>
        <w:autoSpaceDE w:val="0"/>
        <w:autoSpaceDN w:val="0"/>
        <w:adjustRightInd w:val="0"/>
        <w:jc w:val="both"/>
        <w:rPr>
          <w:rFonts w:ascii="CMR10" w:eastAsia="Times New Roman" w:hAnsi="CMR10" w:cs="Times New Roman"/>
          <w:sz w:val="20"/>
          <w:szCs w:val="20"/>
        </w:rPr>
      </w:pPr>
      <w:r w:rsidRPr="00A1540B">
        <w:rPr>
          <w:rFonts w:ascii="CMR10" w:eastAsia="Times New Roman" w:hAnsi="CMR10" w:cs="Times New Roman"/>
          <w:sz w:val="20"/>
          <w:szCs w:val="20"/>
        </w:rPr>
        <w:t>Finalize the baseline technical performance and how that drives design</w:t>
      </w:r>
    </w:p>
    <w:p w14:paraId="155050F0" w14:textId="77777777" w:rsidR="00670589" w:rsidRPr="00670589" w:rsidRDefault="00670589" w:rsidP="00670589">
      <w:pPr>
        <w:autoSpaceDE w:val="0"/>
        <w:autoSpaceDN w:val="0"/>
        <w:adjustRightInd w:val="0"/>
        <w:ind w:left="360"/>
        <w:rPr>
          <w:rFonts w:asciiTheme="majorHAnsi" w:eastAsia="Times New Roman" w:hAnsiTheme="majorHAnsi"/>
          <w:color w:val="000000" w:themeColor="text1"/>
        </w:rPr>
      </w:pPr>
    </w:p>
    <w:p w14:paraId="0507F105" w14:textId="41CB5402" w:rsidR="00F661DF" w:rsidRPr="000045AC" w:rsidRDefault="003C42AD" w:rsidP="009355F1">
      <w:pPr>
        <w:rPr>
          <w:rFonts w:asciiTheme="majorHAnsi" w:eastAsia="Times New Roman" w:hAnsiTheme="majorHAnsi"/>
          <w:color w:val="000000" w:themeColor="text1"/>
        </w:rPr>
      </w:pPr>
      <w:r w:rsidRPr="000045AC">
        <w:rPr>
          <w:rFonts w:eastAsia="Times New Roman"/>
          <w:b/>
          <w:i/>
          <w:iCs/>
          <w:color w:val="000000" w:themeColor="text1"/>
        </w:rPr>
        <w:t>3.3</w:t>
      </w:r>
      <w:r w:rsidRPr="000045AC">
        <w:rPr>
          <w:rFonts w:eastAsia="Times New Roman"/>
          <w:b/>
          <w:i/>
          <w:iCs/>
          <w:color w:val="000000" w:themeColor="text1"/>
        </w:rPr>
        <w:tab/>
        <w:t>Entering</w:t>
      </w:r>
      <w:r w:rsidRPr="000045AC">
        <w:rPr>
          <w:rFonts w:asciiTheme="majorHAnsi" w:eastAsia="Times New Roman" w:hAnsiTheme="majorHAnsi"/>
          <w:color w:val="000000" w:themeColor="text1"/>
        </w:rPr>
        <w:t xml:space="preserve"> </w:t>
      </w:r>
      <w:r w:rsidR="002B269A" w:rsidRPr="000045AC">
        <w:rPr>
          <w:rFonts w:eastAsia="Times New Roman"/>
          <w:b/>
          <w:i/>
          <w:iCs/>
          <w:color w:val="000000" w:themeColor="text1"/>
        </w:rPr>
        <w:t>Phase Three and Four</w:t>
      </w:r>
      <w:r w:rsidR="009355F1" w:rsidRPr="000045AC">
        <w:rPr>
          <w:rFonts w:asciiTheme="majorHAnsi" w:eastAsia="Times New Roman" w:hAnsiTheme="majorHAnsi"/>
          <w:color w:val="000000" w:themeColor="text1"/>
        </w:rPr>
        <w:tab/>
      </w:r>
    </w:p>
    <w:p w14:paraId="0B2526B8" w14:textId="113F100B" w:rsidR="00F661DF" w:rsidRPr="00A1540B" w:rsidRDefault="003C42AD" w:rsidP="00A1540B">
      <w:pPr>
        <w:autoSpaceDE w:val="0"/>
        <w:autoSpaceDN w:val="0"/>
        <w:adjustRightInd w:val="0"/>
        <w:jc w:val="both"/>
        <w:rPr>
          <w:rFonts w:ascii="CMR10" w:eastAsia="Times New Roman" w:hAnsi="CMR10" w:cs="Times New Roman"/>
          <w:sz w:val="20"/>
          <w:szCs w:val="20"/>
        </w:rPr>
      </w:pPr>
      <w:r w:rsidRPr="00A1540B">
        <w:rPr>
          <w:rFonts w:ascii="CMR10" w:eastAsia="Times New Roman" w:hAnsi="CMR10" w:cs="Times New Roman"/>
          <w:sz w:val="20"/>
          <w:szCs w:val="20"/>
        </w:rPr>
        <w:t>These stages of development are the portion where industry delivers their segments to the prime contract</w:t>
      </w:r>
      <w:r w:rsidR="00670589" w:rsidRPr="00A1540B">
        <w:rPr>
          <w:rFonts w:ascii="CMR10" w:eastAsia="Times New Roman" w:hAnsi="CMR10" w:cs="Times New Roman"/>
          <w:sz w:val="20"/>
          <w:szCs w:val="20"/>
        </w:rPr>
        <w:t>or</w:t>
      </w:r>
      <w:r w:rsidRPr="00A1540B">
        <w:rPr>
          <w:rFonts w:ascii="CMR10" w:eastAsia="Times New Roman" w:hAnsi="CMR10" w:cs="Times New Roman"/>
          <w:sz w:val="20"/>
          <w:szCs w:val="20"/>
        </w:rPr>
        <w:t xml:space="preserve"> based upon the baseline design and systems requir</w:t>
      </w:r>
      <w:r w:rsidR="00670589" w:rsidRPr="00A1540B">
        <w:rPr>
          <w:rFonts w:ascii="CMR10" w:eastAsia="Times New Roman" w:hAnsi="CMR10" w:cs="Times New Roman"/>
          <w:sz w:val="20"/>
          <w:szCs w:val="20"/>
        </w:rPr>
        <w:t>e</w:t>
      </w:r>
      <w:r w:rsidRPr="00A1540B">
        <w:rPr>
          <w:rFonts w:ascii="CMR10" w:eastAsia="Times New Roman" w:hAnsi="CMR10" w:cs="Times New Roman"/>
          <w:sz w:val="20"/>
          <w:szCs w:val="20"/>
        </w:rPr>
        <w:t xml:space="preserve">ments documents.  There will be massive testing and system level demonstrations prior to the completion of the four phases of maturity.  </w:t>
      </w:r>
      <w:r w:rsidR="000045AC" w:rsidRPr="00A1540B">
        <w:rPr>
          <w:rFonts w:ascii="CMR10" w:eastAsia="Times New Roman" w:hAnsi="CMR10" w:cs="Times New Roman"/>
          <w:sz w:val="20"/>
          <w:szCs w:val="20"/>
        </w:rPr>
        <w:t>A short summary would be:</w:t>
      </w:r>
    </w:p>
    <w:p w14:paraId="24535D23" w14:textId="1FA51EB5" w:rsidR="000045AC" w:rsidRPr="00A1540B" w:rsidRDefault="00C64F9F" w:rsidP="00A1540B">
      <w:pPr>
        <w:pStyle w:val="ListParagraph"/>
        <w:numPr>
          <w:ilvl w:val="0"/>
          <w:numId w:val="29"/>
        </w:numPr>
        <w:autoSpaceDE w:val="0"/>
        <w:autoSpaceDN w:val="0"/>
        <w:adjustRightInd w:val="0"/>
        <w:jc w:val="both"/>
        <w:rPr>
          <w:rFonts w:ascii="CMR10" w:eastAsia="Times New Roman" w:hAnsi="CMR10" w:cs="Times New Roman"/>
          <w:sz w:val="20"/>
          <w:szCs w:val="20"/>
        </w:rPr>
      </w:pPr>
      <w:r w:rsidRPr="00A1540B">
        <w:rPr>
          <w:rFonts w:ascii="CMR10" w:eastAsia="Times New Roman" w:hAnsi="CMR10" w:cs="Times New Roman"/>
          <w:sz w:val="20"/>
          <w:szCs w:val="20"/>
        </w:rPr>
        <w:t>Phase Three</w:t>
      </w:r>
      <w:r w:rsidR="000045AC" w:rsidRPr="00A1540B">
        <w:rPr>
          <w:rFonts w:ascii="CMR10" w:eastAsia="Times New Roman" w:hAnsi="CMR10" w:cs="Times New Roman"/>
          <w:sz w:val="20"/>
          <w:szCs w:val="20"/>
        </w:rPr>
        <w:t>:</w:t>
      </w:r>
      <w:r w:rsidRPr="00A1540B">
        <w:rPr>
          <w:rFonts w:ascii="CMR10" w:eastAsia="Times New Roman" w:hAnsi="CMR10" w:cs="Times New Roman"/>
          <w:sz w:val="20"/>
          <w:szCs w:val="20"/>
        </w:rPr>
        <w:t xml:space="preserve">  Validate Design Approaches</w:t>
      </w:r>
    </w:p>
    <w:p w14:paraId="3C69E764" w14:textId="77777777" w:rsidR="000045AC" w:rsidRPr="00A1540B" w:rsidRDefault="00C64F9F" w:rsidP="00A1540B">
      <w:pPr>
        <w:pStyle w:val="ListParagraph"/>
        <w:numPr>
          <w:ilvl w:val="1"/>
          <w:numId w:val="29"/>
        </w:numPr>
        <w:autoSpaceDE w:val="0"/>
        <w:autoSpaceDN w:val="0"/>
        <w:adjustRightInd w:val="0"/>
        <w:ind w:left="1080"/>
        <w:jc w:val="both"/>
        <w:rPr>
          <w:rFonts w:ascii="CMR10" w:eastAsia="Times New Roman" w:hAnsi="CMR10" w:cs="Times New Roman"/>
          <w:sz w:val="20"/>
          <w:szCs w:val="20"/>
        </w:rPr>
      </w:pPr>
      <w:r w:rsidRPr="00A1540B">
        <w:rPr>
          <w:rFonts w:ascii="CMR10" w:eastAsia="Times New Roman" w:hAnsi="CMR10" w:cs="Times New Roman"/>
          <w:sz w:val="20"/>
          <w:szCs w:val="20"/>
        </w:rPr>
        <w:t>Service the Risk Buy down</w:t>
      </w:r>
    </w:p>
    <w:p w14:paraId="778663D1" w14:textId="77777777" w:rsidR="000045AC" w:rsidRPr="00A1540B" w:rsidRDefault="00C64F9F" w:rsidP="00A1540B">
      <w:pPr>
        <w:pStyle w:val="ListParagraph"/>
        <w:numPr>
          <w:ilvl w:val="1"/>
          <w:numId w:val="29"/>
        </w:numPr>
        <w:autoSpaceDE w:val="0"/>
        <w:autoSpaceDN w:val="0"/>
        <w:adjustRightInd w:val="0"/>
        <w:ind w:left="1080"/>
        <w:jc w:val="both"/>
        <w:rPr>
          <w:rFonts w:ascii="CMR10" w:eastAsia="Times New Roman" w:hAnsi="CMR10" w:cs="Times New Roman"/>
          <w:sz w:val="20"/>
          <w:szCs w:val="20"/>
        </w:rPr>
      </w:pPr>
      <w:r w:rsidRPr="00A1540B">
        <w:rPr>
          <w:rFonts w:ascii="CMR10" w:eastAsia="Times New Roman" w:hAnsi="CMR10" w:cs="Times New Roman"/>
          <w:sz w:val="20"/>
          <w:szCs w:val="20"/>
        </w:rPr>
        <w:t>Measure Design versus Performance Baseline</w:t>
      </w:r>
    </w:p>
    <w:p w14:paraId="39B14D84" w14:textId="77777777" w:rsidR="000045AC" w:rsidRPr="00A1540B" w:rsidRDefault="00C64F9F" w:rsidP="00A1540B">
      <w:pPr>
        <w:pStyle w:val="ListParagraph"/>
        <w:numPr>
          <w:ilvl w:val="1"/>
          <w:numId w:val="29"/>
        </w:numPr>
        <w:autoSpaceDE w:val="0"/>
        <w:autoSpaceDN w:val="0"/>
        <w:adjustRightInd w:val="0"/>
        <w:ind w:left="1080"/>
        <w:jc w:val="both"/>
        <w:rPr>
          <w:rFonts w:ascii="CMR10" w:eastAsia="Times New Roman" w:hAnsi="CMR10" w:cs="Times New Roman"/>
          <w:sz w:val="20"/>
          <w:szCs w:val="20"/>
        </w:rPr>
      </w:pPr>
      <w:r w:rsidRPr="00A1540B">
        <w:rPr>
          <w:rFonts w:ascii="CMR10" w:eastAsia="Times New Roman" w:hAnsi="CMR10" w:cs="Times New Roman"/>
          <w:sz w:val="20"/>
          <w:szCs w:val="20"/>
        </w:rPr>
        <w:t>Baseline Technical Performance Measures</w:t>
      </w:r>
    </w:p>
    <w:p w14:paraId="3BCF9EB9" w14:textId="2388299E" w:rsidR="00C64F9F" w:rsidRPr="00A1540B" w:rsidRDefault="00C64F9F" w:rsidP="00A1540B">
      <w:pPr>
        <w:pStyle w:val="ListParagraph"/>
        <w:numPr>
          <w:ilvl w:val="1"/>
          <w:numId w:val="29"/>
        </w:numPr>
        <w:autoSpaceDE w:val="0"/>
        <w:autoSpaceDN w:val="0"/>
        <w:adjustRightInd w:val="0"/>
        <w:ind w:left="1080"/>
        <w:jc w:val="both"/>
        <w:rPr>
          <w:rFonts w:ascii="CMR10" w:eastAsia="Times New Roman" w:hAnsi="CMR10" w:cs="Times New Roman"/>
          <w:sz w:val="20"/>
          <w:szCs w:val="20"/>
        </w:rPr>
      </w:pPr>
      <w:r w:rsidRPr="00A1540B">
        <w:rPr>
          <w:rFonts w:ascii="CMR10" w:eastAsia="Times New Roman" w:hAnsi="CMR10" w:cs="Times New Roman"/>
          <w:sz w:val="20"/>
          <w:szCs w:val="20"/>
        </w:rPr>
        <w:lastRenderedPageBreak/>
        <w:t>Establish Basis for Mission Assurance assessments</w:t>
      </w:r>
    </w:p>
    <w:p w14:paraId="07065CD9" w14:textId="5945BAD2" w:rsidR="000045AC" w:rsidRPr="00A1540B" w:rsidRDefault="00C64F9F" w:rsidP="00A1540B">
      <w:pPr>
        <w:pStyle w:val="ListParagraph"/>
        <w:numPr>
          <w:ilvl w:val="0"/>
          <w:numId w:val="29"/>
        </w:numPr>
        <w:autoSpaceDE w:val="0"/>
        <w:autoSpaceDN w:val="0"/>
        <w:adjustRightInd w:val="0"/>
        <w:jc w:val="both"/>
        <w:rPr>
          <w:rFonts w:ascii="CMR10" w:eastAsia="Times New Roman" w:hAnsi="CMR10" w:cs="Times New Roman"/>
          <w:sz w:val="20"/>
          <w:szCs w:val="20"/>
        </w:rPr>
      </w:pPr>
      <w:r w:rsidRPr="00A1540B">
        <w:rPr>
          <w:rFonts w:ascii="CMR10" w:eastAsia="Times New Roman" w:hAnsi="CMR10" w:cs="Times New Roman"/>
          <w:sz w:val="20"/>
          <w:szCs w:val="20"/>
        </w:rPr>
        <w:t>Phase Four</w:t>
      </w:r>
      <w:r w:rsidR="000045AC" w:rsidRPr="00A1540B">
        <w:rPr>
          <w:rFonts w:ascii="CMR10" w:eastAsia="Times New Roman" w:hAnsi="CMR10" w:cs="Times New Roman"/>
          <w:sz w:val="20"/>
          <w:szCs w:val="20"/>
        </w:rPr>
        <w:t>:</w:t>
      </w:r>
      <w:r w:rsidRPr="00A1540B">
        <w:rPr>
          <w:rFonts w:ascii="CMR10" w:eastAsia="Times New Roman" w:hAnsi="CMR10" w:cs="Times New Roman"/>
          <w:sz w:val="20"/>
          <w:szCs w:val="20"/>
        </w:rPr>
        <w:t xml:space="preserve">  Assess Mission Operations Success</w:t>
      </w:r>
    </w:p>
    <w:p w14:paraId="5ED578BF" w14:textId="77777777" w:rsidR="000045AC" w:rsidRPr="00A1540B" w:rsidRDefault="00C64F9F" w:rsidP="00A1540B">
      <w:pPr>
        <w:pStyle w:val="ListParagraph"/>
        <w:numPr>
          <w:ilvl w:val="1"/>
          <w:numId w:val="29"/>
        </w:numPr>
        <w:autoSpaceDE w:val="0"/>
        <w:autoSpaceDN w:val="0"/>
        <w:adjustRightInd w:val="0"/>
        <w:ind w:left="1080"/>
        <w:jc w:val="both"/>
        <w:rPr>
          <w:rFonts w:ascii="CMR10" w:eastAsia="Times New Roman" w:hAnsi="CMR10" w:cs="Times New Roman"/>
          <w:sz w:val="20"/>
          <w:szCs w:val="20"/>
        </w:rPr>
      </w:pPr>
      <w:r w:rsidRPr="00A1540B">
        <w:rPr>
          <w:rFonts w:ascii="CMR10" w:eastAsia="Times New Roman" w:hAnsi="CMR10" w:cs="Times New Roman"/>
          <w:sz w:val="20"/>
          <w:szCs w:val="20"/>
        </w:rPr>
        <w:t>Establish Performance Envelopes for the operational system</w:t>
      </w:r>
    </w:p>
    <w:p w14:paraId="528F4A64" w14:textId="77777777" w:rsidR="000045AC" w:rsidRPr="00A1540B" w:rsidRDefault="00C64F9F" w:rsidP="00A1540B">
      <w:pPr>
        <w:pStyle w:val="ListParagraph"/>
        <w:numPr>
          <w:ilvl w:val="1"/>
          <w:numId w:val="29"/>
        </w:numPr>
        <w:autoSpaceDE w:val="0"/>
        <w:autoSpaceDN w:val="0"/>
        <w:adjustRightInd w:val="0"/>
        <w:ind w:left="1080"/>
        <w:jc w:val="both"/>
        <w:rPr>
          <w:rFonts w:ascii="CMR10" w:eastAsia="Times New Roman" w:hAnsi="CMR10" w:cs="Times New Roman"/>
          <w:sz w:val="20"/>
          <w:szCs w:val="20"/>
        </w:rPr>
      </w:pPr>
      <w:r w:rsidRPr="00A1540B">
        <w:rPr>
          <w:rFonts w:ascii="CMR10" w:eastAsia="Times New Roman" w:hAnsi="CMR10" w:cs="Times New Roman"/>
          <w:sz w:val="20"/>
          <w:szCs w:val="20"/>
        </w:rPr>
        <w:t>Terminate Risk Management Program</w:t>
      </w:r>
    </w:p>
    <w:p w14:paraId="123C57AD" w14:textId="77777777" w:rsidR="000045AC" w:rsidRPr="00A1540B" w:rsidRDefault="00C64F9F" w:rsidP="00A1540B">
      <w:pPr>
        <w:pStyle w:val="ListParagraph"/>
        <w:numPr>
          <w:ilvl w:val="1"/>
          <w:numId w:val="29"/>
        </w:numPr>
        <w:autoSpaceDE w:val="0"/>
        <w:autoSpaceDN w:val="0"/>
        <w:adjustRightInd w:val="0"/>
        <w:ind w:left="1080"/>
        <w:jc w:val="both"/>
        <w:rPr>
          <w:rFonts w:ascii="CMR10" w:eastAsia="Times New Roman" w:hAnsi="CMR10" w:cs="Times New Roman"/>
          <w:sz w:val="20"/>
          <w:szCs w:val="20"/>
        </w:rPr>
      </w:pPr>
      <w:r w:rsidRPr="00A1540B">
        <w:rPr>
          <w:rFonts w:ascii="CMR10" w:eastAsia="Times New Roman" w:hAnsi="CMR10" w:cs="Times New Roman"/>
          <w:sz w:val="20"/>
          <w:szCs w:val="20"/>
        </w:rPr>
        <w:t>Conduct Risk Monitoring with Good Tools</w:t>
      </w:r>
    </w:p>
    <w:p w14:paraId="44DA0080" w14:textId="77777777" w:rsidR="000045AC" w:rsidRPr="00A1540B" w:rsidRDefault="00C64F9F" w:rsidP="00A1540B">
      <w:pPr>
        <w:pStyle w:val="ListParagraph"/>
        <w:numPr>
          <w:ilvl w:val="1"/>
          <w:numId w:val="29"/>
        </w:numPr>
        <w:autoSpaceDE w:val="0"/>
        <w:autoSpaceDN w:val="0"/>
        <w:adjustRightInd w:val="0"/>
        <w:ind w:left="1080"/>
        <w:jc w:val="both"/>
        <w:rPr>
          <w:rFonts w:ascii="CMR10" w:eastAsia="Times New Roman" w:hAnsi="CMR10" w:cs="Times New Roman"/>
          <w:sz w:val="20"/>
          <w:szCs w:val="20"/>
        </w:rPr>
      </w:pPr>
      <w:r w:rsidRPr="00A1540B">
        <w:rPr>
          <w:rFonts w:ascii="CMR10" w:eastAsia="Times New Roman" w:hAnsi="CMR10" w:cs="Times New Roman"/>
          <w:sz w:val="20"/>
          <w:szCs w:val="20"/>
        </w:rPr>
        <w:t>Examine “On-Ramp Items”</w:t>
      </w:r>
    </w:p>
    <w:p w14:paraId="52876DA2" w14:textId="0E5A9A31" w:rsidR="00C64F9F" w:rsidRPr="00A1540B" w:rsidRDefault="00C64F9F" w:rsidP="00A1540B">
      <w:pPr>
        <w:pStyle w:val="ListParagraph"/>
        <w:numPr>
          <w:ilvl w:val="1"/>
          <w:numId w:val="29"/>
        </w:numPr>
        <w:autoSpaceDE w:val="0"/>
        <w:autoSpaceDN w:val="0"/>
        <w:adjustRightInd w:val="0"/>
        <w:ind w:left="1080"/>
        <w:jc w:val="both"/>
        <w:rPr>
          <w:rFonts w:ascii="CMR10" w:eastAsia="Times New Roman" w:hAnsi="CMR10" w:cs="Times New Roman"/>
          <w:sz w:val="20"/>
          <w:szCs w:val="20"/>
        </w:rPr>
      </w:pPr>
      <w:r w:rsidRPr="00A1540B">
        <w:rPr>
          <w:rFonts w:ascii="CMR10" w:eastAsia="Times New Roman" w:hAnsi="CMR10" w:cs="Times New Roman"/>
          <w:sz w:val="20"/>
          <w:szCs w:val="20"/>
        </w:rPr>
        <w:t>Baseline Operational Performance Measures</w:t>
      </w:r>
    </w:p>
    <w:p w14:paraId="3085CD06" w14:textId="61FC3DAF" w:rsidR="00C64F9F" w:rsidRPr="000045AC" w:rsidRDefault="005F5973" w:rsidP="00786B84">
      <w:pPr>
        <w:rPr>
          <w:color w:val="000000" w:themeColor="text1"/>
        </w:rPr>
      </w:pPr>
      <w:r w:rsidRPr="000045AC">
        <w:rPr>
          <w:noProof/>
          <w:color w:val="000000" w:themeColor="text1"/>
        </w:rPr>
        <w:drawing>
          <wp:anchor distT="0" distB="0" distL="114300" distR="114300" simplePos="0" relativeHeight="251663360" behindDoc="0" locked="0" layoutInCell="1" allowOverlap="1" wp14:anchorId="24D73A8B" wp14:editId="2C2E316E">
            <wp:simplePos x="0" y="0"/>
            <wp:positionH relativeFrom="margin">
              <wp:align>right</wp:align>
            </wp:positionH>
            <wp:positionV relativeFrom="margin">
              <wp:align>top</wp:align>
            </wp:positionV>
            <wp:extent cx="1949308" cy="54991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9308" cy="5499100"/>
                    </a:xfrm>
                    <a:prstGeom prst="rect">
                      <a:avLst/>
                    </a:prstGeom>
                  </pic:spPr>
                </pic:pic>
              </a:graphicData>
            </a:graphic>
          </wp:anchor>
        </w:drawing>
      </w:r>
    </w:p>
    <w:p w14:paraId="59EFCDFF" w14:textId="24388222" w:rsidR="00F661DF" w:rsidRDefault="006A215D" w:rsidP="00113F03">
      <w:pPr>
        <w:rPr>
          <w:rFonts w:asciiTheme="majorHAnsi" w:eastAsia="Times New Roman" w:hAnsiTheme="majorHAnsi"/>
          <w:color w:val="0070C0"/>
        </w:rPr>
      </w:pPr>
      <w:r w:rsidRPr="000045AC">
        <w:rPr>
          <w:rFonts w:eastAsia="Times New Roman"/>
          <w:b/>
          <w:i/>
          <w:iCs/>
          <w:color w:val="000000" w:themeColor="text1"/>
        </w:rPr>
        <w:t>4</w:t>
      </w:r>
      <w:r w:rsidR="009355F1" w:rsidRPr="000045AC">
        <w:rPr>
          <w:rFonts w:eastAsia="Times New Roman"/>
          <w:b/>
          <w:i/>
          <w:iCs/>
          <w:color w:val="000000" w:themeColor="text1"/>
        </w:rPr>
        <w:t>.0</w:t>
      </w:r>
      <w:r w:rsidR="009355F1" w:rsidRPr="000045AC">
        <w:rPr>
          <w:rFonts w:eastAsia="Times New Roman"/>
          <w:b/>
          <w:i/>
          <w:iCs/>
          <w:color w:val="000000" w:themeColor="text1"/>
        </w:rPr>
        <w:tab/>
        <w:t xml:space="preserve">The </w:t>
      </w:r>
      <w:r w:rsidR="00F661DF" w:rsidRPr="000045AC">
        <w:rPr>
          <w:rFonts w:eastAsia="Times New Roman"/>
          <w:b/>
          <w:i/>
          <w:iCs/>
          <w:color w:val="000000" w:themeColor="text1"/>
        </w:rPr>
        <w:t xml:space="preserve">Galactic </w:t>
      </w:r>
      <w:r w:rsidR="00F661DF" w:rsidRPr="00F661DF">
        <w:rPr>
          <w:rFonts w:eastAsia="Times New Roman"/>
          <w:b/>
          <w:i/>
          <w:iCs/>
          <w:color w:val="000000" w:themeColor="text1"/>
        </w:rPr>
        <w:t>Harbour</w:t>
      </w:r>
      <w:r w:rsidR="009355F1" w:rsidRPr="00F661DF">
        <w:rPr>
          <w:rFonts w:eastAsia="Times New Roman"/>
          <w:b/>
          <w:i/>
          <w:iCs/>
          <w:color w:val="000000" w:themeColor="text1"/>
        </w:rPr>
        <w:t xml:space="preserve"> Transportation System Concept:</w:t>
      </w:r>
      <w:r w:rsidR="009355F1" w:rsidRPr="00211EE7">
        <w:rPr>
          <w:rFonts w:asciiTheme="majorHAnsi" w:eastAsia="Times New Roman" w:hAnsiTheme="majorHAnsi"/>
          <w:color w:val="0070C0"/>
        </w:rPr>
        <w:tab/>
      </w:r>
    </w:p>
    <w:p w14:paraId="08B770E1" w14:textId="69AD5D1B" w:rsidR="001223C4" w:rsidRPr="00A1540B" w:rsidRDefault="001223C4" w:rsidP="001223C4">
      <w:pPr>
        <w:rPr>
          <w:rFonts w:ascii="CMR10" w:eastAsia="Times New Roman" w:hAnsi="CMR10" w:cs="Times New Roman"/>
          <w:sz w:val="20"/>
          <w:szCs w:val="20"/>
        </w:rPr>
      </w:pPr>
      <w:r w:rsidRPr="00A1540B">
        <w:rPr>
          <w:rFonts w:ascii="CMR10" w:eastAsia="Times New Roman" w:hAnsi="CMR10" w:cs="Times New Roman"/>
          <w:sz w:val="20"/>
          <w:szCs w:val="20"/>
        </w:rPr>
        <w:t>The transp</w:t>
      </w:r>
      <w:r w:rsidR="00670589" w:rsidRPr="00A1540B">
        <w:rPr>
          <w:rFonts w:ascii="CMR10" w:eastAsia="Times New Roman" w:hAnsi="CMR10" w:cs="Times New Roman"/>
          <w:sz w:val="20"/>
          <w:szCs w:val="20"/>
        </w:rPr>
        <w:t>o</w:t>
      </w:r>
      <w:r w:rsidRPr="00A1540B">
        <w:rPr>
          <w:rFonts w:ascii="CMR10" w:eastAsia="Times New Roman" w:hAnsi="CMR10" w:cs="Times New Roman"/>
          <w:sz w:val="20"/>
          <w:szCs w:val="20"/>
        </w:rPr>
        <w:t>rtation strategy is to link the Space Elevator Transportation System to the Space Elevator Enterprises that will develop along the permanent infrastructure.  This unifying vision is called the Galactic Harbour</w:t>
      </w:r>
      <w:r w:rsidR="00670589" w:rsidRPr="00A1540B">
        <w:rPr>
          <w:rFonts w:ascii="CMR10" w:eastAsia="Times New Roman" w:hAnsi="CMR10" w:cs="Times New Roman"/>
          <w:sz w:val="20"/>
          <w:szCs w:val="20"/>
        </w:rPr>
        <w:t xml:space="preserve"> and will enable massive movement of cargo while being environment</w:t>
      </w:r>
      <w:r w:rsidR="00A1540B">
        <w:rPr>
          <w:rFonts w:ascii="CMR10" w:eastAsia="Times New Roman" w:hAnsi="CMR10" w:cs="Times New Roman"/>
          <w:sz w:val="20"/>
          <w:szCs w:val="20"/>
        </w:rPr>
        <w:t>al</w:t>
      </w:r>
      <w:r w:rsidR="00670589" w:rsidRPr="00A1540B">
        <w:rPr>
          <w:rFonts w:ascii="CMR10" w:eastAsia="Times New Roman" w:hAnsi="CMR10" w:cs="Times New Roman"/>
          <w:sz w:val="20"/>
          <w:szCs w:val="20"/>
        </w:rPr>
        <w:t>ly friendly.</w:t>
      </w:r>
    </w:p>
    <w:p w14:paraId="77640F9F" w14:textId="589772A6" w:rsidR="000045AC" w:rsidRDefault="000045AC" w:rsidP="00113F03">
      <w:pPr>
        <w:rPr>
          <w:rFonts w:asciiTheme="majorHAnsi" w:eastAsia="Times New Roman" w:hAnsiTheme="majorHAnsi"/>
          <w:color w:val="0070C0"/>
        </w:rPr>
      </w:pPr>
    </w:p>
    <w:p w14:paraId="52C08342" w14:textId="6CC1AD15" w:rsidR="005D545B" w:rsidRDefault="001223C4" w:rsidP="00113F03">
      <w:pPr>
        <w:rPr>
          <w:rFonts w:eastAsia="Times New Roman"/>
          <w:b/>
          <w:i/>
          <w:iCs/>
          <w:color w:val="000000" w:themeColor="text1"/>
        </w:rPr>
      </w:pPr>
      <w:r w:rsidRPr="001223C4">
        <w:rPr>
          <w:rFonts w:ascii="Times New Roman" w:eastAsia="Times New Roman" w:hAnsi="Times New Roman" w:cs="Times New Roman"/>
          <w:noProof/>
        </w:rPr>
        <w:drawing>
          <wp:anchor distT="0" distB="0" distL="114300" distR="114300" simplePos="0" relativeHeight="251664384" behindDoc="0" locked="0" layoutInCell="1" allowOverlap="1" wp14:anchorId="34B5019B" wp14:editId="5D19EB0C">
            <wp:simplePos x="0" y="0"/>
            <wp:positionH relativeFrom="margin">
              <wp:align>left</wp:align>
            </wp:positionH>
            <wp:positionV relativeFrom="margin">
              <wp:align>bottom</wp:align>
            </wp:positionV>
            <wp:extent cx="3543300" cy="2173142"/>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stretch>
                      <a:fillRect/>
                    </a:stretch>
                  </pic:blipFill>
                  <pic:spPr>
                    <a:xfrm>
                      <a:off x="0" y="0"/>
                      <a:ext cx="3543300" cy="2173142"/>
                    </a:xfrm>
                    <a:prstGeom prst="rect">
                      <a:avLst/>
                    </a:prstGeom>
                  </pic:spPr>
                </pic:pic>
              </a:graphicData>
            </a:graphic>
          </wp:anchor>
        </w:drawing>
      </w:r>
      <w:r w:rsidR="006A215D">
        <w:rPr>
          <w:rFonts w:eastAsia="Times New Roman"/>
          <w:b/>
          <w:i/>
          <w:iCs/>
          <w:color w:val="000000" w:themeColor="text1"/>
        </w:rPr>
        <w:t>4</w:t>
      </w:r>
      <w:r w:rsidR="005D545B" w:rsidRPr="005D545B">
        <w:rPr>
          <w:rFonts w:eastAsia="Times New Roman"/>
          <w:b/>
          <w:i/>
          <w:iCs/>
          <w:color w:val="000000" w:themeColor="text1"/>
        </w:rPr>
        <w:t>.1</w:t>
      </w:r>
      <w:r w:rsidR="005D545B" w:rsidRPr="005D545B">
        <w:rPr>
          <w:rFonts w:eastAsia="Times New Roman"/>
          <w:b/>
          <w:i/>
          <w:iCs/>
          <w:color w:val="000000" w:themeColor="text1"/>
        </w:rPr>
        <w:tab/>
        <w:t xml:space="preserve">Space Elevator Transportation System – </w:t>
      </w:r>
      <w:r w:rsidR="006A215D">
        <w:rPr>
          <w:rFonts w:eastAsia="Times New Roman"/>
          <w:b/>
          <w:i/>
          <w:iCs/>
          <w:color w:val="000000" w:themeColor="text1"/>
        </w:rPr>
        <w:t>Massive Movement of Cargo</w:t>
      </w:r>
      <w:r w:rsidR="005D545B" w:rsidRPr="005D545B">
        <w:rPr>
          <w:rFonts w:eastAsia="Times New Roman"/>
          <w:b/>
          <w:i/>
          <w:iCs/>
          <w:color w:val="000000" w:themeColor="text1"/>
        </w:rPr>
        <w:t xml:space="preserve"> </w:t>
      </w:r>
    </w:p>
    <w:p w14:paraId="5258EE60" w14:textId="1199EFC7" w:rsidR="00A1540B" w:rsidRDefault="001223C4" w:rsidP="00113F03">
      <w:pPr>
        <w:rPr>
          <w:rFonts w:ascii="CMR10" w:eastAsia="Times New Roman" w:hAnsi="CMR10" w:cs="Times New Roman"/>
          <w:sz w:val="20"/>
          <w:szCs w:val="20"/>
        </w:rPr>
      </w:pPr>
      <w:r w:rsidRPr="00A1540B">
        <w:rPr>
          <w:rFonts w:ascii="CMR10" w:eastAsia="Times New Roman" w:hAnsi="CMR10" w:cs="Times New Roman"/>
          <w:sz w:val="20"/>
          <w:szCs w:val="20"/>
        </w:rPr>
        <w:t>As shown in the 2020 ISEC study report, S</w:t>
      </w:r>
      <w:r w:rsidR="00670589" w:rsidRPr="00A1540B">
        <w:rPr>
          <w:rFonts w:ascii="CMR10" w:eastAsia="Times New Roman" w:hAnsi="CMR10" w:cs="Times New Roman"/>
          <w:sz w:val="20"/>
          <w:szCs w:val="20"/>
        </w:rPr>
        <w:t xml:space="preserve">pace </w:t>
      </w:r>
      <w:r w:rsidRPr="00A1540B">
        <w:rPr>
          <w:rFonts w:ascii="CMR10" w:eastAsia="Times New Roman" w:hAnsi="CMR10" w:cs="Times New Roman"/>
          <w:sz w:val="20"/>
          <w:szCs w:val="20"/>
        </w:rPr>
        <w:t>E</w:t>
      </w:r>
      <w:r w:rsidR="00670589" w:rsidRPr="00A1540B">
        <w:rPr>
          <w:rFonts w:ascii="CMR10" w:eastAsia="Times New Roman" w:hAnsi="CMR10" w:cs="Times New Roman"/>
          <w:sz w:val="20"/>
          <w:szCs w:val="20"/>
        </w:rPr>
        <w:t>levators’</w:t>
      </w:r>
      <w:r w:rsidRPr="00A1540B">
        <w:rPr>
          <w:rFonts w:ascii="CMR10" w:eastAsia="Times New Roman" w:hAnsi="CMR10" w:cs="Times New Roman"/>
          <w:sz w:val="20"/>
          <w:szCs w:val="20"/>
        </w:rPr>
        <w:t xml:space="preserve"> </w:t>
      </w:r>
      <w:r w:rsidR="00670589" w:rsidRPr="00A1540B">
        <w:rPr>
          <w:rFonts w:ascii="CMR10" w:eastAsia="Times New Roman" w:hAnsi="CMR10" w:cs="Times New Roman"/>
          <w:sz w:val="20"/>
          <w:szCs w:val="20"/>
        </w:rPr>
        <w:t>delivery statistics to destinations (roughly</w:t>
      </w:r>
    </w:p>
    <w:p w14:paraId="6295C9B5" w14:textId="571817E1" w:rsidR="00F661DF" w:rsidRPr="00A1540B" w:rsidRDefault="00670589" w:rsidP="00113F03">
      <w:pPr>
        <w:rPr>
          <w:rFonts w:ascii="CMR10" w:eastAsia="Times New Roman" w:hAnsi="CMR10" w:cs="Times New Roman"/>
          <w:sz w:val="20"/>
          <w:szCs w:val="20"/>
        </w:rPr>
      </w:pPr>
      <w:r w:rsidRPr="00A1540B">
        <w:rPr>
          <w:rFonts w:ascii="CMR10" w:eastAsia="Times New Roman" w:hAnsi="CMR10" w:cs="Times New Roman"/>
          <w:sz w:val="20"/>
          <w:szCs w:val="20"/>
        </w:rPr>
        <w:t>70% - with other 30% reused) are remarkable.  M</w:t>
      </w:r>
      <w:r w:rsidR="001223C4" w:rsidRPr="00A1540B">
        <w:rPr>
          <w:rFonts w:ascii="CMR10" w:eastAsia="Times New Roman" w:hAnsi="CMR10" w:cs="Times New Roman"/>
          <w:sz w:val="20"/>
          <w:szCs w:val="20"/>
        </w:rPr>
        <w:t>ovement of mass by the mature Space Elevator Community d</w:t>
      </w:r>
      <w:r w:rsidRPr="00A1540B">
        <w:rPr>
          <w:rFonts w:ascii="CMR10" w:eastAsia="Times New Roman" w:hAnsi="CMR10" w:cs="Times New Roman"/>
          <w:sz w:val="20"/>
          <w:szCs w:val="20"/>
        </w:rPr>
        <w:t>w</w:t>
      </w:r>
      <w:r w:rsidR="001223C4" w:rsidRPr="00A1540B">
        <w:rPr>
          <w:rFonts w:ascii="CMR10" w:eastAsia="Times New Roman" w:hAnsi="CMR10" w:cs="Times New Roman"/>
          <w:sz w:val="20"/>
          <w:szCs w:val="20"/>
        </w:rPr>
        <w:t>a</w:t>
      </w:r>
      <w:r w:rsidRPr="00A1540B">
        <w:rPr>
          <w:rFonts w:ascii="CMR10" w:eastAsia="Times New Roman" w:hAnsi="CMR10" w:cs="Times New Roman"/>
          <w:sz w:val="20"/>
          <w:szCs w:val="20"/>
        </w:rPr>
        <w:t>r</w:t>
      </w:r>
      <w:r w:rsidR="001223C4" w:rsidRPr="00A1540B">
        <w:rPr>
          <w:rFonts w:ascii="CMR10" w:eastAsia="Times New Roman" w:hAnsi="CMR10" w:cs="Times New Roman"/>
          <w:sz w:val="20"/>
          <w:szCs w:val="20"/>
        </w:rPr>
        <w:t>fs the past and future performa</w:t>
      </w:r>
      <w:r w:rsidRPr="00A1540B">
        <w:rPr>
          <w:rFonts w:ascii="CMR10" w:eastAsia="Times New Roman" w:hAnsi="CMR10" w:cs="Times New Roman"/>
          <w:sz w:val="20"/>
          <w:szCs w:val="20"/>
        </w:rPr>
        <w:t>n</w:t>
      </w:r>
      <w:r w:rsidR="001223C4" w:rsidRPr="00A1540B">
        <w:rPr>
          <w:rFonts w:ascii="CMR10" w:eastAsia="Times New Roman" w:hAnsi="CMR10" w:cs="Times New Roman"/>
          <w:sz w:val="20"/>
          <w:szCs w:val="20"/>
        </w:rPr>
        <w:t xml:space="preserve">ce of rockets.  Can you image 170,000 tonnes per year to GEO in a green manner saving our environment as well as fulfilling the needs of our various programs? </w:t>
      </w:r>
    </w:p>
    <w:p w14:paraId="1411AF3A" w14:textId="77777777" w:rsidR="00670589" w:rsidRDefault="00670589" w:rsidP="00113F03">
      <w:pPr>
        <w:rPr>
          <w:rFonts w:asciiTheme="majorHAnsi" w:eastAsia="Times New Roman" w:hAnsiTheme="majorHAnsi"/>
          <w:color w:val="000000" w:themeColor="text1"/>
        </w:rPr>
      </w:pPr>
    </w:p>
    <w:p w14:paraId="6FB75F38" w14:textId="23BECF20" w:rsidR="005D545B" w:rsidRDefault="006A215D" w:rsidP="00113F03">
      <w:pPr>
        <w:rPr>
          <w:rFonts w:eastAsia="Times New Roman"/>
          <w:b/>
          <w:i/>
          <w:iCs/>
          <w:color w:val="000000" w:themeColor="text1"/>
        </w:rPr>
      </w:pPr>
      <w:r>
        <w:rPr>
          <w:rFonts w:eastAsia="Times New Roman"/>
          <w:b/>
          <w:i/>
          <w:iCs/>
          <w:color w:val="000000" w:themeColor="text1"/>
        </w:rPr>
        <w:t>4</w:t>
      </w:r>
      <w:r w:rsidR="005D545B" w:rsidRPr="005D545B">
        <w:rPr>
          <w:rFonts w:eastAsia="Times New Roman"/>
          <w:b/>
          <w:i/>
          <w:iCs/>
          <w:color w:val="000000" w:themeColor="text1"/>
        </w:rPr>
        <w:t>.2</w:t>
      </w:r>
      <w:r w:rsidR="005D545B" w:rsidRPr="005D545B">
        <w:rPr>
          <w:rFonts w:eastAsia="Times New Roman"/>
          <w:b/>
          <w:i/>
          <w:iCs/>
          <w:color w:val="000000" w:themeColor="text1"/>
        </w:rPr>
        <w:tab/>
      </w:r>
      <w:r w:rsidR="005D545B">
        <w:rPr>
          <w:rFonts w:eastAsia="Times New Roman"/>
          <w:b/>
          <w:i/>
          <w:iCs/>
          <w:color w:val="000000" w:themeColor="text1"/>
        </w:rPr>
        <w:t>Space Elevator Strategy</w:t>
      </w:r>
      <w:r w:rsidR="005D545B" w:rsidRPr="005D545B">
        <w:rPr>
          <w:rFonts w:eastAsia="Times New Roman"/>
          <w:b/>
          <w:i/>
          <w:iCs/>
          <w:color w:val="000000" w:themeColor="text1"/>
        </w:rPr>
        <w:t>:</w:t>
      </w:r>
      <w:r w:rsidR="005D545B">
        <w:rPr>
          <w:rFonts w:eastAsia="Times New Roman"/>
          <w:b/>
          <w:i/>
          <w:iCs/>
          <w:color w:val="000000" w:themeColor="text1"/>
        </w:rPr>
        <w:t xml:space="preserve"> Dual Space Access Infrastructure</w:t>
      </w:r>
    </w:p>
    <w:p w14:paraId="26987970" w14:textId="441AD833" w:rsidR="005D545B" w:rsidRPr="00255CB4" w:rsidRDefault="005D545B" w:rsidP="00113F03">
      <w:pPr>
        <w:rPr>
          <w:rFonts w:ascii="CMR10" w:eastAsia="Times New Roman" w:hAnsi="CMR10" w:cs="Times New Roman"/>
          <w:sz w:val="20"/>
          <w:szCs w:val="20"/>
        </w:rPr>
      </w:pPr>
    </w:p>
    <w:p w14:paraId="29B213D5" w14:textId="7D66D2DD" w:rsidR="000045AC" w:rsidRPr="00255CB4" w:rsidRDefault="000045AC" w:rsidP="000045AC">
      <w:pPr>
        <w:rPr>
          <w:rFonts w:ascii="CMR10" w:eastAsia="Times New Roman" w:hAnsi="CMR10" w:cs="Times New Roman"/>
          <w:sz w:val="20"/>
          <w:szCs w:val="20"/>
        </w:rPr>
      </w:pPr>
      <w:r w:rsidRPr="00255CB4">
        <w:rPr>
          <w:rFonts w:ascii="CMR10" w:eastAsia="Times New Roman" w:hAnsi="CMR10" w:cs="Times New Roman"/>
          <w:sz w:val="20"/>
          <w:szCs w:val="20"/>
        </w:rPr>
        <w:t>The strategy of the Space Elevator Community is that the strengths of rocket launches (along with their difficulties) should be combined with the strengths</w:t>
      </w:r>
      <w:r w:rsidR="00B25FB9" w:rsidRPr="00255CB4">
        <w:rPr>
          <w:rFonts w:ascii="CMR10" w:eastAsia="Times New Roman" w:hAnsi="CMR10" w:cs="Times New Roman"/>
          <w:sz w:val="20"/>
          <w:szCs w:val="20"/>
        </w:rPr>
        <w:t xml:space="preserve"> of</w:t>
      </w:r>
      <w:r w:rsidRPr="00255CB4">
        <w:rPr>
          <w:rFonts w:ascii="CMR10" w:eastAsia="Times New Roman" w:hAnsi="CMR10" w:cs="Times New Roman"/>
          <w:sz w:val="20"/>
          <w:szCs w:val="20"/>
        </w:rPr>
        <w:t xml:space="preserve"> the Space Elevator to enable the dreams of so many to go to space.  We recognize there are three princip</w:t>
      </w:r>
      <w:r w:rsidR="00670589" w:rsidRPr="00255CB4">
        <w:rPr>
          <w:rFonts w:ascii="CMR10" w:eastAsia="Times New Roman" w:hAnsi="CMR10" w:cs="Times New Roman"/>
          <w:sz w:val="20"/>
          <w:szCs w:val="20"/>
        </w:rPr>
        <w:t>al</w:t>
      </w:r>
      <w:r w:rsidRPr="00255CB4">
        <w:rPr>
          <w:rFonts w:ascii="CMR10" w:eastAsia="Times New Roman" w:hAnsi="CMR10" w:cs="Times New Roman"/>
          <w:sz w:val="20"/>
          <w:szCs w:val="20"/>
        </w:rPr>
        <w:t xml:space="preserve"> strengths of advanced rockets: 1) rockets are successful today and great strides are forecast for the future, 2) reaching any orbit can be achieved, and, 3) rapid movement through radiation belts for people enables flights to the Moon and Mars. The strengths of a permanent infrastructure with daily, routine, environmentally friendly and inexpensive attributes come with Space Elevators.  These strengths will be compared to the difficulties of executing a Space Elevator developmental program. Space Elevators will not be ready for initial human migration off-planet.  However, once colonies are established on the Moon and Mars using rockets, Space Elevators will enable robust </w:t>
      </w:r>
      <w:r w:rsidRPr="00255CB4">
        <w:rPr>
          <w:rFonts w:ascii="CMR10" w:eastAsia="Times New Roman" w:hAnsi="CMR10" w:cs="Times New Roman"/>
          <w:sz w:val="20"/>
          <w:szCs w:val="20"/>
        </w:rPr>
        <w:lastRenderedPageBreak/>
        <w:t xml:space="preserve">growth by moving massive cargo, daily, inexpensively, environmentally friendly, and routinely.  </w:t>
      </w:r>
    </w:p>
    <w:p w14:paraId="2FAF9391" w14:textId="77777777" w:rsidR="000045AC" w:rsidRPr="00255CB4" w:rsidRDefault="000045AC" w:rsidP="000045AC">
      <w:pPr>
        <w:rPr>
          <w:rFonts w:ascii="CMR10" w:eastAsia="Times New Roman" w:hAnsi="CMR10" w:cs="Times New Roman"/>
          <w:sz w:val="20"/>
          <w:szCs w:val="20"/>
        </w:rPr>
      </w:pPr>
    </w:p>
    <w:p w14:paraId="0428CBFB" w14:textId="6CB46749" w:rsidR="00C64F9F" w:rsidRPr="00255CB4" w:rsidRDefault="006A215D" w:rsidP="00786B84">
      <w:pPr>
        <w:rPr>
          <w:rFonts w:ascii="CMR10" w:eastAsia="Times New Roman" w:hAnsi="CMR10" w:cs="Times New Roman"/>
          <w:sz w:val="20"/>
          <w:szCs w:val="20"/>
        </w:rPr>
      </w:pPr>
      <w:r>
        <w:rPr>
          <w:rFonts w:eastAsia="Times New Roman"/>
          <w:b/>
          <w:i/>
          <w:iCs/>
          <w:color w:val="000000" w:themeColor="text1"/>
        </w:rPr>
        <w:t>5</w:t>
      </w:r>
      <w:r w:rsidR="009B6FA9" w:rsidRPr="00484D13">
        <w:rPr>
          <w:rFonts w:eastAsia="Times New Roman"/>
          <w:b/>
          <w:i/>
          <w:iCs/>
          <w:color w:val="000000" w:themeColor="text1"/>
        </w:rPr>
        <w:t>.0</w:t>
      </w:r>
      <w:r w:rsidR="00113F03" w:rsidRPr="00484D13">
        <w:rPr>
          <w:rFonts w:eastAsia="Times New Roman"/>
          <w:b/>
          <w:i/>
          <w:iCs/>
          <w:color w:val="000000" w:themeColor="text1"/>
        </w:rPr>
        <w:tab/>
        <w:t>Where are we, now?</w:t>
      </w:r>
      <w:r w:rsidR="004D2140" w:rsidRPr="00484D13">
        <w:rPr>
          <w:rFonts w:eastAsia="Times New Roman"/>
          <w:b/>
          <w:i/>
          <w:iCs/>
          <w:color w:val="000000" w:themeColor="text1"/>
        </w:rPr>
        <w:tab/>
      </w:r>
      <w:r w:rsidR="00113F03" w:rsidRPr="00484D13">
        <w:rPr>
          <w:rFonts w:asciiTheme="majorHAnsi" w:eastAsia="Times New Roman" w:hAnsiTheme="majorHAnsi"/>
          <w:color w:val="000000" w:themeColor="text1"/>
        </w:rPr>
        <w:tab/>
      </w:r>
      <w:r w:rsidR="00484D13" w:rsidRPr="00255CB4">
        <w:rPr>
          <w:rFonts w:ascii="CMR10" w:eastAsia="Times New Roman" w:hAnsi="CMR10" w:cs="Times New Roman"/>
          <w:sz w:val="20"/>
          <w:szCs w:val="20"/>
        </w:rPr>
        <w:t xml:space="preserve">The Space Elevator </w:t>
      </w:r>
      <w:r w:rsidR="001223C4" w:rsidRPr="00255CB4">
        <w:rPr>
          <w:rFonts w:ascii="CMR10" w:eastAsia="Times New Roman" w:hAnsi="CMR10" w:cs="Times New Roman"/>
          <w:sz w:val="20"/>
          <w:szCs w:val="20"/>
        </w:rPr>
        <w:t>has</w:t>
      </w:r>
      <w:r w:rsidR="00484D13" w:rsidRPr="00255CB4">
        <w:rPr>
          <w:rFonts w:ascii="CMR10" w:eastAsia="Times New Roman" w:hAnsi="CMR10" w:cs="Times New Roman"/>
          <w:sz w:val="20"/>
          <w:szCs w:val="20"/>
        </w:rPr>
        <w:t xml:space="preserve"> start</w:t>
      </w:r>
      <w:r w:rsidR="001223C4" w:rsidRPr="00255CB4">
        <w:rPr>
          <w:rFonts w:ascii="CMR10" w:eastAsia="Times New Roman" w:hAnsi="CMR10" w:cs="Times New Roman"/>
          <w:sz w:val="20"/>
          <w:szCs w:val="20"/>
        </w:rPr>
        <w:t>ed</w:t>
      </w:r>
      <w:r w:rsidR="00484D13" w:rsidRPr="00255CB4">
        <w:rPr>
          <w:rFonts w:ascii="CMR10" w:eastAsia="Times New Roman" w:hAnsi="CMR10" w:cs="Times New Roman"/>
          <w:sz w:val="20"/>
          <w:szCs w:val="20"/>
        </w:rPr>
        <w:t xml:space="preserve"> Engineering Validation because:</w:t>
      </w:r>
    </w:p>
    <w:p w14:paraId="528F99C7" w14:textId="3505CC55" w:rsidR="00484D13" w:rsidRPr="00255CB4" w:rsidRDefault="00484D13" w:rsidP="00255CB4">
      <w:pPr>
        <w:pStyle w:val="ListParagraph"/>
        <w:numPr>
          <w:ilvl w:val="0"/>
          <w:numId w:val="30"/>
        </w:numPr>
        <w:rPr>
          <w:rFonts w:ascii="CMR10" w:eastAsia="Times New Roman" w:hAnsi="CMR10" w:cs="Times New Roman"/>
          <w:sz w:val="20"/>
          <w:szCs w:val="20"/>
        </w:rPr>
      </w:pPr>
      <w:r w:rsidRPr="00255CB4">
        <w:rPr>
          <w:rFonts w:ascii="CMR10" w:eastAsia="Times New Roman" w:hAnsi="CMR10" w:cs="Times New Roman"/>
          <w:sz w:val="20"/>
          <w:szCs w:val="20"/>
        </w:rPr>
        <w:t>The ISEC team has been assessing the technology feasibility situation since 2008</w:t>
      </w:r>
    </w:p>
    <w:p w14:paraId="3A7CA90E" w14:textId="3DE77BA6" w:rsidR="00484D13" w:rsidRPr="00255CB4" w:rsidRDefault="00484D13" w:rsidP="00255CB4">
      <w:pPr>
        <w:pStyle w:val="ListParagraph"/>
        <w:numPr>
          <w:ilvl w:val="0"/>
          <w:numId w:val="30"/>
        </w:numPr>
        <w:rPr>
          <w:rFonts w:ascii="CMR10" w:eastAsia="Times New Roman" w:hAnsi="CMR10" w:cs="Times New Roman"/>
          <w:sz w:val="20"/>
          <w:szCs w:val="20"/>
        </w:rPr>
      </w:pPr>
      <w:r w:rsidRPr="00255CB4">
        <w:rPr>
          <w:rFonts w:ascii="CMR10" w:eastAsia="Times New Roman" w:hAnsi="CMR10" w:cs="Times New Roman"/>
          <w:sz w:val="20"/>
          <w:szCs w:val="20"/>
        </w:rPr>
        <w:t xml:space="preserve">Recently the team has begun an open dialog with members of industry, academia, and others who could be the deliverers of </w:t>
      </w:r>
      <w:r w:rsidR="00670589" w:rsidRPr="00255CB4">
        <w:rPr>
          <w:rFonts w:ascii="CMR10" w:eastAsia="Times New Roman" w:hAnsi="CMR10" w:cs="Times New Roman"/>
          <w:sz w:val="20"/>
          <w:szCs w:val="20"/>
        </w:rPr>
        <w:t xml:space="preserve">segment </w:t>
      </w:r>
      <w:r w:rsidRPr="00255CB4">
        <w:rPr>
          <w:rFonts w:ascii="CMR10" w:eastAsia="Times New Roman" w:hAnsi="CMR10" w:cs="Times New Roman"/>
          <w:sz w:val="20"/>
          <w:szCs w:val="20"/>
        </w:rPr>
        <w:t>solutions</w:t>
      </w:r>
    </w:p>
    <w:p w14:paraId="4039E743" w14:textId="0F2F5E18" w:rsidR="00484D13" w:rsidRPr="00255CB4" w:rsidRDefault="00484D13" w:rsidP="00255CB4">
      <w:pPr>
        <w:pStyle w:val="ListParagraph"/>
        <w:numPr>
          <w:ilvl w:val="0"/>
          <w:numId w:val="30"/>
        </w:numPr>
        <w:rPr>
          <w:rFonts w:ascii="CMR10" w:eastAsia="Times New Roman" w:hAnsi="CMR10" w:cs="Times New Roman"/>
          <w:sz w:val="20"/>
          <w:szCs w:val="20"/>
        </w:rPr>
      </w:pPr>
      <w:r w:rsidRPr="00255CB4">
        <w:rPr>
          <w:rFonts w:ascii="CMR10" w:eastAsia="Times New Roman" w:hAnsi="CMR10" w:cs="Times New Roman"/>
          <w:sz w:val="20"/>
          <w:szCs w:val="20"/>
        </w:rPr>
        <w:t>Industry will show how the needed technologies are being matured and when they could be dependably available</w:t>
      </w:r>
    </w:p>
    <w:p w14:paraId="4DB48B4A" w14:textId="5FE67D5D" w:rsidR="00484D13" w:rsidRPr="00255CB4" w:rsidRDefault="00484D13" w:rsidP="00255CB4">
      <w:pPr>
        <w:pStyle w:val="ListParagraph"/>
        <w:numPr>
          <w:ilvl w:val="0"/>
          <w:numId w:val="30"/>
        </w:numPr>
        <w:rPr>
          <w:rFonts w:ascii="CMR10" w:eastAsia="Times New Roman" w:hAnsi="CMR10" w:cs="Times New Roman"/>
          <w:sz w:val="20"/>
          <w:szCs w:val="20"/>
        </w:rPr>
      </w:pPr>
      <w:r w:rsidRPr="00255CB4">
        <w:rPr>
          <w:rFonts w:ascii="CMR10" w:eastAsia="Times New Roman" w:hAnsi="CMR10" w:cs="Times New Roman"/>
          <w:sz w:val="20"/>
          <w:szCs w:val="20"/>
        </w:rPr>
        <w:t xml:space="preserve">These preliminary readiness assessments were completed in Phase One as the exit criteria.  </w:t>
      </w:r>
    </w:p>
    <w:p w14:paraId="181EEBFD" w14:textId="586ECF55" w:rsidR="004D2140" w:rsidRPr="00255CB4" w:rsidRDefault="004D2140" w:rsidP="00786B84">
      <w:pPr>
        <w:rPr>
          <w:rFonts w:ascii="CMR10" w:eastAsia="Times New Roman" w:hAnsi="CMR10" w:cs="Times New Roman"/>
          <w:sz w:val="20"/>
          <w:szCs w:val="20"/>
        </w:rPr>
      </w:pPr>
    </w:p>
    <w:p w14:paraId="576CD4C0" w14:textId="51B2B3EE" w:rsidR="00255CB4" w:rsidRPr="00255CB4" w:rsidRDefault="00C64F9F" w:rsidP="00255CB4">
      <w:pPr>
        <w:jc w:val="center"/>
        <w:rPr>
          <w:rFonts w:ascii="CMR10" w:eastAsia="Times New Roman" w:hAnsi="CMR10" w:cs="Times New Roman"/>
          <w:i/>
          <w:iCs/>
          <w:szCs w:val="22"/>
        </w:rPr>
      </w:pPr>
      <w:r w:rsidRPr="00255CB4">
        <w:rPr>
          <w:rFonts w:ascii="CMR10" w:eastAsia="Times New Roman" w:hAnsi="CMR10" w:cs="Times New Roman"/>
          <w:i/>
          <w:iCs/>
          <w:szCs w:val="22"/>
        </w:rPr>
        <w:t>The Space Elevator and Galactic Harbour</w:t>
      </w:r>
    </w:p>
    <w:p w14:paraId="4D1C4215" w14:textId="052AB01B" w:rsidR="00C64F9F" w:rsidRPr="00255CB4" w:rsidRDefault="00C64F9F" w:rsidP="00255CB4">
      <w:pPr>
        <w:jc w:val="center"/>
        <w:rPr>
          <w:rFonts w:ascii="CMR10" w:eastAsia="Times New Roman" w:hAnsi="CMR10" w:cs="Times New Roman"/>
          <w:i/>
          <w:iCs/>
          <w:szCs w:val="22"/>
        </w:rPr>
      </w:pPr>
      <w:r w:rsidRPr="00255CB4">
        <w:rPr>
          <w:rFonts w:ascii="CMR10" w:eastAsia="Times New Roman" w:hAnsi="CMR10" w:cs="Times New Roman"/>
          <w:i/>
          <w:iCs/>
          <w:szCs w:val="22"/>
        </w:rPr>
        <w:t>Concepts are ready for Prime Time</w:t>
      </w:r>
    </w:p>
    <w:p w14:paraId="745131F9" w14:textId="3780FAB7" w:rsidR="00113F03" w:rsidRPr="001223C4" w:rsidRDefault="00113F03" w:rsidP="00786B84">
      <w:pPr>
        <w:jc w:val="both"/>
        <w:rPr>
          <w:rFonts w:asciiTheme="majorHAnsi" w:eastAsia="Times New Roman" w:hAnsiTheme="majorHAnsi"/>
          <w:color w:val="000000" w:themeColor="text1"/>
        </w:rPr>
      </w:pPr>
    </w:p>
    <w:p w14:paraId="3CB74A76" w14:textId="60A4FFF3" w:rsidR="00D56284" w:rsidRPr="001223C4" w:rsidRDefault="00255CB4" w:rsidP="00D56284">
      <w:pPr>
        <w:rPr>
          <w:rFonts w:asciiTheme="majorHAnsi" w:eastAsia="Times New Roman" w:hAnsiTheme="majorHAnsi"/>
          <w:color w:val="000000" w:themeColor="text1"/>
        </w:rPr>
      </w:pPr>
      <w:r>
        <w:rPr>
          <w:rFonts w:eastAsia="Times New Roman"/>
          <w:b/>
          <w:i/>
          <w:iCs/>
          <w:color w:val="000000" w:themeColor="text1"/>
        </w:rPr>
        <w:t>6.0</w:t>
      </w:r>
      <w:r>
        <w:rPr>
          <w:rFonts w:eastAsia="Times New Roman"/>
          <w:b/>
          <w:i/>
          <w:iCs/>
          <w:color w:val="000000" w:themeColor="text1"/>
        </w:rPr>
        <w:tab/>
      </w:r>
      <w:r w:rsidR="00113F03" w:rsidRPr="001223C4">
        <w:rPr>
          <w:rFonts w:eastAsia="Times New Roman"/>
          <w:b/>
          <w:i/>
          <w:iCs/>
          <w:color w:val="000000" w:themeColor="text1"/>
        </w:rPr>
        <w:t>Conclusion:</w:t>
      </w:r>
      <w:r w:rsidR="00113F03" w:rsidRPr="001223C4">
        <w:rPr>
          <w:rFonts w:asciiTheme="majorHAnsi" w:eastAsia="Times New Roman" w:hAnsiTheme="majorHAnsi"/>
          <w:color w:val="000000" w:themeColor="text1"/>
        </w:rPr>
        <w:tab/>
      </w:r>
      <w:r w:rsidR="00113F03" w:rsidRPr="00255CB4">
        <w:rPr>
          <w:rFonts w:ascii="CMR10" w:eastAsia="Times New Roman" w:hAnsi="CMR10" w:cs="Times New Roman"/>
          <w:color w:val="000000"/>
          <w:sz w:val="20"/>
          <w:szCs w:val="20"/>
          <w:u w:color="000000"/>
          <w:bdr w:val="nil"/>
        </w:rPr>
        <w:t>The conclusion from the analysis going into this paper is that there is a solid case to proceed</w:t>
      </w:r>
      <w:r w:rsidR="001223C4" w:rsidRPr="00255CB4">
        <w:rPr>
          <w:rFonts w:ascii="CMR10" w:eastAsia="Times New Roman" w:hAnsi="CMR10" w:cs="Times New Roman"/>
          <w:color w:val="000000"/>
          <w:sz w:val="20"/>
          <w:szCs w:val="20"/>
          <w:u w:color="000000"/>
          <w:bdr w:val="nil"/>
        </w:rPr>
        <w:t xml:space="preserve"> </w:t>
      </w:r>
      <w:r w:rsidR="00D56284" w:rsidRPr="00255CB4">
        <w:rPr>
          <w:rFonts w:ascii="CMR10" w:eastAsia="Times New Roman" w:hAnsi="CMR10" w:cs="Times New Roman"/>
          <w:color w:val="000000"/>
          <w:sz w:val="20"/>
          <w:szCs w:val="20"/>
          <w:u w:color="000000"/>
          <w:bdr w:val="nil"/>
        </w:rPr>
        <w:t>ahead with the Space Elevator development.</w:t>
      </w:r>
    </w:p>
    <w:p w14:paraId="164A6D3D" w14:textId="0F85B4FC" w:rsidR="00113F03" w:rsidRPr="001223C4" w:rsidRDefault="00113F03" w:rsidP="00113F03">
      <w:pPr>
        <w:rPr>
          <w:rFonts w:asciiTheme="majorHAnsi" w:eastAsia="Times New Roman" w:hAnsiTheme="majorHAnsi"/>
          <w:color w:val="000000" w:themeColor="text1"/>
        </w:rPr>
      </w:pPr>
    </w:p>
    <w:p w14:paraId="2442DE2F" w14:textId="77777777" w:rsidR="00C64F9F" w:rsidRPr="001223C4" w:rsidRDefault="00C64F9F" w:rsidP="00786B84">
      <w:pPr>
        <w:tabs>
          <w:tab w:val="left" w:pos="1080"/>
        </w:tabs>
        <w:contextualSpacing/>
        <w:jc w:val="center"/>
        <w:rPr>
          <w:b/>
          <w:i/>
          <w:color w:val="000000" w:themeColor="text1"/>
          <w:sz w:val="36"/>
        </w:rPr>
      </w:pPr>
      <w:r w:rsidRPr="001223C4">
        <w:rPr>
          <w:b/>
          <w:i/>
          <w:color w:val="000000" w:themeColor="text1"/>
          <w:sz w:val="36"/>
        </w:rPr>
        <w:t>The Space Elevator will be the</w:t>
      </w:r>
    </w:p>
    <w:p w14:paraId="34527928" w14:textId="77777777" w:rsidR="00C64F9F" w:rsidRPr="001223C4" w:rsidRDefault="00C64F9F" w:rsidP="00786B84">
      <w:pPr>
        <w:widowControl w:val="0"/>
        <w:autoSpaceDE w:val="0"/>
        <w:autoSpaceDN w:val="0"/>
        <w:adjustRightInd w:val="0"/>
        <w:jc w:val="center"/>
        <w:rPr>
          <w:color w:val="000000" w:themeColor="text1"/>
        </w:rPr>
      </w:pPr>
      <w:r w:rsidRPr="001223C4">
        <w:rPr>
          <w:b/>
          <w:i/>
          <w:color w:val="000000" w:themeColor="text1"/>
          <w:sz w:val="36"/>
        </w:rPr>
        <w:t>Transportation Story of the 21st Century</w:t>
      </w:r>
    </w:p>
    <w:p w14:paraId="145F0F2C" w14:textId="77777777" w:rsidR="00C64F9F" w:rsidRPr="00211EE7" w:rsidRDefault="00C64F9F" w:rsidP="00786B84">
      <w:pPr>
        <w:rPr>
          <w:color w:val="0070C0"/>
        </w:rPr>
      </w:pPr>
    </w:p>
    <w:p w14:paraId="7E5275DC" w14:textId="77777777" w:rsidR="00E82566" w:rsidRPr="00211EE7" w:rsidRDefault="00E82566" w:rsidP="00E82566">
      <w:pPr>
        <w:rPr>
          <w:rFonts w:ascii="Calibri" w:hAnsi="Calibri" w:cs="Calibri"/>
          <w:b/>
          <w:bCs/>
          <w:i/>
          <w:iCs/>
          <w:color w:val="0070C0"/>
          <w:sz w:val="37"/>
          <w:szCs w:val="37"/>
        </w:rPr>
      </w:pPr>
    </w:p>
    <w:p w14:paraId="25830B84" w14:textId="77777777" w:rsidR="00E82566" w:rsidRPr="00211EE7" w:rsidRDefault="00E82566" w:rsidP="00E82566">
      <w:pPr>
        <w:rPr>
          <w:rFonts w:ascii="Calibri" w:hAnsi="Calibri" w:cs="Calibri"/>
          <w:b/>
          <w:bCs/>
          <w:i/>
          <w:iCs/>
          <w:color w:val="0070C0"/>
          <w:sz w:val="37"/>
          <w:szCs w:val="37"/>
        </w:rPr>
      </w:pPr>
    </w:p>
    <w:p w14:paraId="3114BD55" w14:textId="77777777" w:rsidR="00D56284" w:rsidRPr="00211EE7" w:rsidRDefault="00D56284">
      <w:pPr>
        <w:rPr>
          <w:rFonts w:ascii="Calibri" w:hAnsi="Calibri" w:cs="Calibri"/>
          <w:b/>
          <w:bCs/>
          <w:i/>
          <w:iCs/>
          <w:color w:val="0070C0"/>
          <w:sz w:val="37"/>
          <w:szCs w:val="37"/>
        </w:rPr>
      </w:pPr>
      <w:r w:rsidRPr="00211EE7">
        <w:rPr>
          <w:rFonts w:ascii="Calibri" w:hAnsi="Calibri" w:cs="Calibri"/>
          <w:b/>
          <w:bCs/>
          <w:i/>
          <w:iCs/>
          <w:color w:val="0070C0"/>
          <w:sz w:val="37"/>
          <w:szCs w:val="37"/>
        </w:rPr>
        <w:br w:type="page"/>
      </w:r>
    </w:p>
    <w:p w14:paraId="1241226C" w14:textId="1E6C0551" w:rsidR="00C64F9F" w:rsidRPr="00255CB4" w:rsidRDefault="00C64F9F" w:rsidP="00E82566">
      <w:pPr>
        <w:rPr>
          <w:rFonts w:ascii="Times Roman" w:hAnsi="Times Roman" w:cs="Times Roman"/>
          <w:color w:val="000000" w:themeColor="text1"/>
        </w:rPr>
      </w:pPr>
      <w:r w:rsidRPr="00255CB4">
        <w:rPr>
          <w:rFonts w:ascii="Calibri" w:hAnsi="Calibri" w:cs="Calibri"/>
          <w:b/>
          <w:bCs/>
          <w:i/>
          <w:iCs/>
          <w:color w:val="000000" w:themeColor="text1"/>
          <w:sz w:val="37"/>
          <w:szCs w:val="37"/>
        </w:rPr>
        <w:lastRenderedPageBreak/>
        <w:t xml:space="preserve">References </w:t>
      </w:r>
      <w:r w:rsidRPr="00255CB4">
        <w:rPr>
          <w:rFonts w:ascii="Calibri" w:hAnsi="Calibri" w:cs="Calibri"/>
          <w:b/>
          <w:bCs/>
          <w:i/>
          <w:iCs/>
          <w:color w:val="000000" w:themeColor="text1"/>
          <w:sz w:val="26"/>
          <w:szCs w:val="26"/>
        </w:rPr>
        <w:t xml:space="preserve">(note: all ISEC reports are on www.isec.org in pdf for free) </w:t>
      </w:r>
    </w:p>
    <w:p w14:paraId="239A7E41" w14:textId="77777777" w:rsidR="00E82566" w:rsidRPr="00255CB4" w:rsidRDefault="00E82566" w:rsidP="00E82566">
      <w:pPr>
        <w:widowControl w:val="0"/>
        <w:tabs>
          <w:tab w:val="left" w:pos="220"/>
          <w:tab w:val="left" w:pos="720"/>
        </w:tabs>
        <w:autoSpaceDE w:val="0"/>
        <w:autoSpaceDN w:val="0"/>
        <w:adjustRightInd w:val="0"/>
        <w:rPr>
          <w:rFonts w:ascii="Times New Roman" w:hAnsi="Times New Roman" w:cs="Times New Roman"/>
          <w:color w:val="000000" w:themeColor="text1"/>
          <w:sz w:val="22"/>
          <w:szCs w:val="22"/>
        </w:rPr>
      </w:pPr>
    </w:p>
    <w:p w14:paraId="78EA4506" w14:textId="77777777" w:rsidR="00E82566" w:rsidRPr="00255CB4" w:rsidRDefault="00E82566" w:rsidP="00E82566">
      <w:pPr>
        <w:widowControl w:val="0"/>
        <w:tabs>
          <w:tab w:val="left" w:pos="220"/>
          <w:tab w:val="left" w:pos="720"/>
        </w:tabs>
        <w:autoSpaceDE w:val="0"/>
        <w:autoSpaceDN w:val="0"/>
        <w:adjustRightInd w:val="0"/>
        <w:rPr>
          <w:rFonts w:ascii="Times New Roman" w:hAnsi="Times New Roman" w:cs="Times New Roman"/>
          <w:color w:val="000000" w:themeColor="text1"/>
          <w:sz w:val="22"/>
          <w:szCs w:val="22"/>
        </w:rPr>
      </w:pPr>
    </w:p>
    <w:p w14:paraId="7F203DFF" w14:textId="33EDCDFD" w:rsidR="00951FC0" w:rsidRPr="00951FC0" w:rsidRDefault="00951FC0" w:rsidP="00951FC0">
      <w:pPr>
        <w:pStyle w:val="FootnoteText"/>
        <w:spacing w:after="120"/>
        <w:rPr>
          <w:rFonts w:ascii="Calibri" w:hAnsi="Calibri" w:cs="Calibri"/>
          <w:color w:val="000000" w:themeColor="text1"/>
          <w:sz w:val="22"/>
          <w:szCs w:val="22"/>
        </w:rPr>
      </w:pPr>
      <w:r w:rsidRPr="00951FC0">
        <w:rPr>
          <w:rFonts w:ascii="Calibri" w:hAnsi="Calibri" w:cs="Calibri"/>
          <w:color w:val="000000" w:themeColor="text1"/>
          <w:sz w:val="22"/>
          <w:szCs w:val="22"/>
        </w:rPr>
        <w:t>Eddy, et.al., "Space Elevators are the Green Road to Space," ISEC Report, Lulu Publishers, April 2021</w:t>
      </w:r>
    </w:p>
    <w:p w14:paraId="2F5D9E52" w14:textId="77777777" w:rsidR="00E82566" w:rsidRPr="00951FC0" w:rsidRDefault="00E82566" w:rsidP="00E82566">
      <w:pPr>
        <w:widowControl w:val="0"/>
        <w:tabs>
          <w:tab w:val="left" w:pos="220"/>
          <w:tab w:val="left" w:pos="720"/>
        </w:tabs>
        <w:autoSpaceDE w:val="0"/>
        <w:autoSpaceDN w:val="0"/>
        <w:adjustRightInd w:val="0"/>
        <w:rPr>
          <w:rFonts w:ascii="Calibri" w:hAnsi="Calibri" w:cs="Calibri"/>
          <w:color w:val="000000" w:themeColor="text1"/>
          <w:sz w:val="22"/>
          <w:szCs w:val="22"/>
        </w:rPr>
      </w:pPr>
    </w:p>
    <w:p w14:paraId="63FD4F9B" w14:textId="77777777" w:rsidR="00C64F9F" w:rsidRPr="00255CB4" w:rsidRDefault="00C64F9F" w:rsidP="00E82566">
      <w:pPr>
        <w:widowControl w:val="0"/>
        <w:tabs>
          <w:tab w:val="left" w:pos="220"/>
          <w:tab w:val="left" w:pos="720"/>
        </w:tabs>
        <w:autoSpaceDE w:val="0"/>
        <w:autoSpaceDN w:val="0"/>
        <w:adjustRightInd w:val="0"/>
        <w:rPr>
          <w:rFonts w:ascii="Calibri" w:hAnsi="Calibri" w:cs="Calibri"/>
          <w:color w:val="000000" w:themeColor="text1"/>
          <w:sz w:val="22"/>
          <w:szCs w:val="22"/>
        </w:rPr>
      </w:pPr>
      <w:r w:rsidRPr="00255CB4">
        <w:rPr>
          <w:rFonts w:ascii="Calibri" w:hAnsi="Calibri" w:cs="Calibri"/>
          <w:color w:val="000000" w:themeColor="text1"/>
          <w:sz w:val="22"/>
          <w:szCs w:val="22"/>
        </w:rPr>
        <w:t>Fitzgerald, M, R. Penny, P. Swan, C. Swan, Space Elevator Architectures and Roadmaps, ISEC Study Report, lulu.com, 2015  </w:t>
      </w:r>
    </w:p>
    <w:p w14:paraId="358F81B0" w14:textId="77777777" w:rsidR="00E82566" w:rsidRPr="00255CB4" w:rsidRDefault="00E82566" w:rsidP="00E82566">
      <w:pPr>
        <w:widowControl w:val="0"/>
        <w:tabs>
          <w:tab w:val="left" w:pos="220"/>
          <w:tab w:val="left" w:pos="720"/>
        </w:tabs>
        <w:autoSpaceDE w:val="0"/>
        <w:autoSpaceDN w:val="0"/>
        <w:adjustRightInd w:val="0"/>
        <w:rPr>
          <w:rFonts w:ascii="Calibri" w:hAnsi="Calibri" w:cs="Calibri"/>
          <w:color w:val="000000" w:themeColor="text1"/>
          <w:sz w:val="22"/>
          <w:szCs w:val="22"/>
        </w:rPr>
      </w:pPr>
    </w:p>
    <w:p w14:paraId="07E3E25A" w14:textId="77777777" w:rsidR="00C64F9F" w:rsidRPr="00255CB4" w:rsidRDefault="00C64F9F" w:rsidP="00E82566">
      <w:pPr>
        <w:widowControl w:val="0"/>
        <w:tabs>
          <w:tab w:val="left" w:pos="220"/>
          <w:tab w:val="left" w:pos="720"/>
        </w:tabs>
        <w:autoSpaceDE w:val="0"/>
        <w:autoSpaceDN w:val="0"/>
        <w:adjustRightInd w:val="0"/>
        <w:rPr>
          <w:rFonts w:ascii="Calibri" w:hAnsi="Calibri" w:cs="Calibri"/>
          <w:color w:val="000000" w:themeColor="text1"/>
          <w:sz w:val="22"/>
          <w:szCs w:val="22"/>
        </w:rPr>
      </w:pPr>
      <w:r w:rsidRPr="00255CB4">
        <w:rPr>
          <w:rFonts w:ascii="Calibri" w:hAnsi="Calibri" w:cs="Calibri"/>
          <w:color w:val="000000" w:themeColor="text1"/>
          <w:sz w:val="22"/>
          <w:szCs w:val="22"/>
        </w:rPr>
        <w:t>Fitzgerald, Michael, Vern Hall, Cathy Swan, Peter Swan, Design Considerations for Space Elevator Apex Anchor and GEO Node, ISEC Study Report, lulu.com, 2017.  </w:t>
      </w:r>
    </w:p>
    <w:p w14:paraId="5D6F04DE" w14:textId="77777777" w:rsidR="00E82566" w:rsidRPr="00255CB4" w:rsidRDefault="00E82566" w:rsidP="00E82566">
      <w:pPr>
        <w:widowControl w:val="0"/>
        <w:tabs>
          <w:tab w:val="left" w:pos="220"/>
          <w:tab w:val="left" w:pos="720"/>
        </w:tabs>
        <w:autoSpaceDE w:val="0"/>
        <w:autoSpaceDN w:val="0"/>
        <w:adjustRightInd w:val="0"/>
        <w:rPr>
          <w:rFonts w:ascii="Calibri" w:hAnsi="Calibri" w:cs="Calibri"/>
          <w:color w:val="000000" w:themeColor="text1"/>
          <w:sz w:val="22"/>
          <w:szCs w:val="22"/>
        </w:rPr>
      </w:pPr>
    </w:p>
    <w:p w14:paraId="4C6F3F88" w14:textId="77777777" w:rsidR="00C64F9F" w:rsidRPr="00255CB4" w:rsidRDefault="00C64F9F" w:rsidP="00E82566">
      <w:pPr>
        <w:widowControl w:val="0"/>
        <w:tabs>
          <w:tab w:val="left" w:pos="220"/>
          <w:tab w:val="left" w:pos="720"/>
        </w:tabs>
        <w:autoSpaceDE w:val="0"/>
        <w:autoSpaceDN w:val="0"/>
        <w:adjustRightInd w:val="0"/>
        <w:rPr>
          <w:rFonts w:ascii="Calibri" w:hAnsi="Calibri" w:cs="Calibri"/>
          <w:color w:val="000000" w:themeColor="text1"/>
          <w:sz w:val="22"/>
          <w:szCs w:val="22"/>
        </w:rPr>
      </w:pPr>
      <w:r w:rsidRPr="00255CB4">
        <w:rPr>
          <w:rFonts w:ascii="Calibri" w:hAnsi="Calibri" w:cs="Calibri"/>
          <w:color w:val="000000" w:themeColor="text1"/>
          <w:sz w:val="22"/>
          <w:szCs w:val="22"/>
        </w:rPr>
        <w:t xml:space="preserve">Hall, Vern, R. Penny, P. </w:t>
      </w:r>
      <w:proofErr w:type="spellStart"/>
      <w:r w:rsidRPr="00255CB4">
        <w:rPr>
          <w:rFonts w:ascii="Calibri" w:hAnsi="Calibri" w:cs="Calibri"/>
          <w:color w:val="000000" w:themeColor="text1"/>
          <w:sz w:val="22"/>
          <w:szCs w:val="22"/>
        </w:rPr>
        <w:t>Glaskowsky</w:t>
      </w:r>
      <w:proofErr w:type="spellEnd"/>
      <w:r w:rsidRPr="00255CB4">
        <w:rPr>
          <w:rFonts w:ascii="Calibri" w:hAnsi="Calibri" w:cs="Calibri"/>
          <w:color w:val="000000" w:themeColor="text1"/>
          <w:sz w:val="22"/>
          <w:szCs w:val="22"/>
        </w:rPr>
        <w:t>, S. Schaeffer, Design Considerations for Space Elevator Earth Port, ISEC Study Report, www.lulu.com, 2016.  </w:t>
      </w:r>
    </w:p>
    <w:p w14:paraId="37FC7E8F" w14:textId="3CEDA47A" w:rsidR="00C64F9F" w:rsidRPr="00255CB4" w:rsidRDefault="00C64F9F" w:rsidP="0069305B">
      <w:pPr>
        <w:widowControl w:val="0"/>
        <w:tabs>
          <w:tab w:val="left" w:pos="220"/>
          <w:tab w:val="left" w:pos="720"/>
        </w:tabs>
        <w:autoSpaceDE w:val="0"/>
        <w:autoSpaceDN w:val="0"/>
        <w:adjustRightInd w:val="0"/>
        <w:rPr>
          <w:rFonts w:ascii="Calibri" w:hAnsi="Calibri" w:cs="Calibri"/>
          <w:color w:val="000000" w:themeColor="text1"/>
          <w:sz w:val="22"/>
          <w:szCs w:val="22"/>
        </w:rPr>
      </w:pPr>
      <w:r w:rsidRPr="00255CB4">
        <w:rPr>
          <w:rFonts w:ascii="Calibri" w:hAnsi="Calibri" w:cs="Calibri"/>
          <w:color w:val="000000" w:themeColor="text1"/>
          <w:sz w:val="22"/>
          <w:szCs w:val="22"/>
        </w:rPr>
        <w:t> </w:t>
      </w:r>
    </w:p>
    <w:p w14:paraId="24468B46" w14:textId="0A175F34" w:rsidR="00255CB4" w:rsidRPr="00951FC0" w:rsidRDefault="00255CB4" w:rsidP="00255CB4">
      <w:pPr>
        <w:rPr>
          <w:rFonts w:ascii="Calibri" w:hAnsi="Calibri" w:cs="Calibri"/>
          <w:color w:val="000000" w:themeColor="text1"/>
          <w:sz w:val="22"/>
          <w:szCs w:val="22"/>
        </w:rPr>
      </w:pPr>
      <w:r w:rsidRPr="00951FC0">
        <w:rPr>
          <w:rFonts w:ascii="Calibri" w:hAnsi="Calibri" w:cs="Calibri"/>
          <w:color w:val="000000" w:themeColor="text1"/>
          <w:sz w:val="22"/>
          <w:szCs w:val="22"/>
        </w:rPr>
        <w:t>Ishikawa, Yoji, The Space Elevator Construction Concept, Obayashi Corporation, 2013, IAC-13-D4.3.6.</w:t>
      </w:r>
    </w:p>
    <w:p w14:paraId="3DABFCDF" w14:textId="0A10CC95" w:rsidR="00255CB4" w:rsidRPr="00951FC0" w:rsidRDefault="00255CB4" w:rsidP="00255CB4">
      <w:pPr>
        <w:rPr>
          <w:rFonts w:ascii="Calibri" w:hAnsi="Calibri" w:cs="Calibri"/>
          <w:color w:val="000000" w:themeColor="text1"/>
          <w:sz w:val="22"/>
          <w:szCs w:val="22"/>
        </w:rPr>
      </w:pPr>
    </w:p>
    <w:p w14:paraId="37B48129" w14:textId="77777777" w:rsidR="00255CB4" w:rsidRPr="00951FC0" w:rsidRDefault="00255CB4" w:rsidP="00255CB4">
      <w:pPr>
        <w:widowControl w:val="0"/>
        <w:tabs>
          <w:tab w:val="left" w:pos="220"/>
          <w:tab w:val="left" w:pos="720"/>
        </w:tabs>
        <w:autoSpaceDE w:val="0"/>
        <w:autoSpaceDN w:val="0"/>
        <w:adjustRightInd w:val="0"/>
        <w:rPr>
          <w:rFonts w:ascii="Calibri" w:hAnsi="Calibri" w:cs="Calibri"/>
          <w:color w:val="000000" w:themeColor="text1"/>
          <w:sz w:val="22"/>
          <w:szCs w:val="22"/>
        </w:rPr>
      </w:pPr>
      <w:r w:rsidRPr="00951FC0">
        <w:rPr>
          <w:rFonts w:ascii="Calibri" w:hAnsi="Calibri" w:cs="Calibri"/>
          <w:color w:val="000000" w:themeColor="text1"/>
          <w:sz w:val="22"/>
          <w:szCs w:val="22"/>
        </w:rPr>
        <w:t xml:space="preserve">Swan, P., David </w:t>
      </w:r>
      <w:proofErr w:type="spellStart"/>
      <w:r w:rsidRPr="00951FC0">
        <w:rPr>
          <w:rFonts w:ascii="Calibri" w:hAnsi="Calibri" w:cs="Calibri"/>
          <w:color w:val="000000" w:themeColor="text1"/>
          <w:sz w:val="22"/>
          <w:szCs w:val="22"/>
        </w:rPr>
        <w:t>Raitt</w:t>
      </w:r>
      <w:proofErr w:type="spellEnd"/>
      <w:r w:rsidRPr="00951FC0">
        <w:rPr>
          <w:rFonts w:ascii="Calibri" w:hAnsi="Calibri" w:cs="Calibri"/>
          <w:color w:val="000000" w:themeColor="text1"/>
          <w:sz w:val="22"/>
          <w:szCs w:val="22"/>
        </w:rPr>
        <w:t xml:space="preserve">, John </w:t>
      </w:r>
      <w:proofErr w:type="spellStart"/>
      <w:r w:rsidRPr="00951FC0">
        <w:rPr>
          <w:rFonts w:ascii="Calibri" w:hAnsi="Calibri" w:cs="Calibri"/>
          <w:color w:val="000000" w:themeColor="text1"/>
          <w:sz w:val="22"/>
          <w:szCs w:val="22"/>
        </w:rPr>
        <w:t>Knapman</w:t>
      </w:r>
      <w:proofErr w:type="spellEnd"/>
      <w:r w:rsidRPr="00951FC0">
        <w:rPr>
          <w:rFonts w:ascii="Calibri" w:hAnsi="Calibri" w:cs="Calibri"/>
          <w:color w:val="000000" w:themeColor="text1"/>
          <w:sz w:val="22"/>
          <w:szCs w:val="22"/>
        </w:rPr>
        <w:t xml:space="preserve">, Akira </w:t>
      </w:r>
      <w:proofErr w:type="spellStart"/>
      <w:r w:rsidRPr="00951FC0">
        <w:rPr>
          <w:rFonts w:ascii="Calibri" w:hAnsi="Calibri" w:cs="Calibri"/>
          <w:color w:val="000000" w:themeColor="text1"/>
          <w:sz w:val="22"/>
          <w:szCs w:val="22"/>
        </w:rPr>
        <w:t>Tsuchida</w:t>
      </w:r>
      <w:proofErr w:type="spellEnd"/>
      <w:r w:rsidRPr="00951FC0">
        <w:rPr>
          <w:rFonts w:ascii="Calibri" w:hAnsi="Calibri" w:cs="Calibri"/>
          <w:color w:val="000000" w:themeColor="text1"/>
          <w:sz w:val="22"/>
          <w:szCs w:val="22"/>
        </w:rPr>
        <w:t xml:space="preserve">, Michael Fitzgerald, Yoji Ishikawa, Road to the Space Elevator Era, Virginia Edition Publishing Company, Science Deck (2019) ISBN-19: 978-0-9913370-3-3 </w:t>
      </w:r>
      <w:r w:rsidRPr="00951FC0">
        <w:rPr>
          <w:rFonts w:ascii="MS Gothic" w:eastAsia="MS Gothic" w:hAnsi="MS Gothic" w:cs="MS Gothic" w:hint="eastAsia"/>
          <w:color w:val="000000" w:themeColor="text1"/>
          <w:sz w:val="22"/>
          <w:szCs w:val="22"/>
        </w:rPr>
        <w:t> </w:t>
      </w:r>
    </w:p>
    <w:p w14:paraId="434E0C9C" w14:textId="118D7B8E" w:rsidR="00255CB4" w:rsidRPr="00951FC0" w:rsidRDefault="00255CB4" w:rsidP="0069305B">
      <w:pPr>
        <w:widowControl w:val="0"/>
        <w:tabs>
          <w:tab w:val="left" w:pos="220"/>
          <w:tab w:val="left" w:pos="720"/>
        </w:tabs>
        <w:autoSpaceDE w:val="0"/>
        <w:autoSpaceDN w:val="0"/>
        <w:adjustRightInd w:val="0"/>
        <w:rPr>
          <w:rFonts w:ascii="Calibri" w:hAnsi="Calibri" w:cs="Calibri"/>
          <w:color w:val="000000" w:themeColor="text1"/>
          <w:sz w:val="22"/>
          <w:szCs w:val="22"/>
        </w:rPr>
      </w:pPr>
    </w:p>
    <w:p w14:paraId="049EE1B1" w14:textId="77777777" w:rsidR="00255CB4" w:rsidRPr="00951FC0" w:rsidRDefault="00255CB4" w:rsidP="00255CB4">
      <w:pPr>
        <w:rPr>
          <w:rFonts w:ascii="Calibri" w:hAnsi="Calibri" w:cs="Calibri"/>
          <w:color w:val="000000" w:themeColor="text1"/>
          <w:sz w:val="22"/>
          <w:szCs w:val="22"/>
        </w:rPr>
      </w:pPr>
      <w:r w:rsidRPr="00951FC0">
        <w:rPr>
          <w:rFonts w:ascii="Calibri" w:hAnsi="Calibri" w:cs="Calibri"/>
          <w:color w:val="000000" w:themeColor="text1"/>
          <w:sz w:val="22"/>
          <w:szCs w:val="22"/>
        </w:rPr>
        <w:t xml:space="preserve">Swan, P., </w:t>
      </w:r>
      <w:proofErr w:type="spellStart"/>
      <w:r w:rsidRPr="00951FC0">
        <w:rPr>
          <w:rFonts w:ascii="Calibri" w:hAnsi="Calibri" w:cs="Calibri"/>
          <w:color w:val="000000" w:themeColor="text1"/>
          <w:sz w:val="22"/>
          <w:szCs w:val="22"/>
        </w:rPr>
        <w:t>Raitt</w:t>
      </w:r>
      <w:proofErr w:type="spellEnd"/>
      <w:r w:rsidRPr="00951FC0">
        <w:rPr>
          <w:rFonts w:ascii="Calibri" w:hAnsi="Calibri" w:cs="Calibri"/>
          <w:color w:val="000000" w:themeColor="text1"/>
          <w:sz w:val="22"/>
          <w:szCs w:val="22"/>
        </w:rPr>
        <w:t xml:space="preserve">, Swan, Penny, </w:t>
      </w:r>
      <w:proofErr w:type="spellStart"/>
      <w:r w:rsidRPr="00951FC0">
        <w:rPr>
          <w:rFonts w:ascii="Calibri" w:hAnsi="Calibri" w:cs="Calibri"/>
          <w:color w:val="000000" w:themeColor="text1"/>
          <w:sz w:val="22"/>
          <w:szCs w:val="22"/>
        </w:rPr>
        <w:t>Knapman</w:t>
      </w:r>
      <w:proofErr w:type="spellEnd"/>
      <w:r w:rsidRPr="00951FC0">
        <w:rPr>
          <w:rFonts w:ascii="Calibri" w:hAnsi="Calibri" w:cs="Calibri"/>
          <w:color w:val="000000" w:themeColor="text1"/>
          <w:sz w:val="22"/>
          <w:szCs w:val="22"/>
        </w:rPr>
        <w:t>. International Academy of Astronautics Study Report, Space Elevators: An Assessment of the Technological Feasibility and the Way Forward, Virginia Edition Publishing Company, Science Deck (2013) ISBN-13: 978-2917761311</w:t>
      </w:r>
    </w:p>
    <w:p w14:paraId="03CBB244" w14:textId="77777777" w:rsidR="00951FC0" w:rsidRPr="00255CB4" w:rsidRDefault="00951FC0" w:rsidP="00951FC0">
      <w:pPr>
        <w:widowControl w:val="0"/>
        <w:tabs>
          <w:tab w:val="left" w:pos="220"/>
          <w:tab w:val="left" w:pos="720"/>
        </w:tabs>
        <w:autoSpaceDE w:val="0"/>
        <w:autoSpaceDN w:val="0"/>
        <w:adjustRightInd w:val="0"/>
        <w:rPr>
          <w:rFonts w:ascii="Calibri" w:hAnsi="Calibri" w:cs="Calibri"/>
          <w:color w:val="000000" w:themeColor="text1"/>
          <w:sz w:val="22"/>
          <w:szCs w:val="22"/>
        </w:rPr>
      </w:pPr>
    </w:p>
    <w:p w14:paraId="7BC9B7D8" w14:textId="08E2C5FD" w:rsidR="00255CB4" w:rsidRDefault="00951FC0" w:rsidP="00951FC0">
      <w:pPr>
        <w:widowControl w:val="0"/>
        <w:tabs>
          <w:tab w:val="left" w:pos="220"/>
          <w:tab w:val="left" w:pos="720"/>
        </w:tabs>
        <w:autoSpaceDE w:val="0"/>
        <w:autoSpaceDN w:val="0"/>
        <w:adjustRightInd w:val="0"/>
        <w:rPr>
          <w:rFonts w:ascii="Calibri" w:hAnsi="Calibri" w:cs="Calibri"/>
          <w:color w:val="000000" w:themeColor="text1"/>
          <w:sz w:val="22"/>
          <w:szCs w:val="22"/>
        </w:rPr>
      </w:pPr>
      <w:r w:rsidRPr="00255CB4">
        <w:rPr>
          <w:rFonts w:ascii="Calibri" w:hAnsi="Calibri" w:cs="Calibri"/>
          <w:color w:val="000000" w:themeColor="text1"/>
          <w:sz w:val="22"/>
          <w:szCs w:val="22"/>
        </w:rPr>
        <w:t>Swan, Peter and Michael Fitzgerald, Today's Space Elevator, ISEC Study Report, Lulu.com, 2019.</w:t>
      </w:r>
    </w:p>
    <w:p w14:paraId="7ED21DE6" w14:textId="5DD1FA16" w:rsidR="00951FC0" w:rsidRDefault="00951FC0" w:rsidP="00951FC0">
      <w:pPr>
        <w:widowControl w:val="0"/>
        <w:tabs>
          <w:tab w:val="left" w:pos="220"/>
          <w:tab w:val="left" w:pos="720"/>
        </w:tabs>
        <w:autoSpaceDE w:val="0"/>
        <w:autoSpaceDN w:val="0"/>
        <w:adjustRightInd w:val="0"/>
        <w:rPr>
          <w:rFonts w:ascii="Calibri" w:hAnsi="Calibri" w:cs="Calibri"/>
          <w:color w:val="000000" w:themeColor="text1"/>
          <w:sz w:val="22"/>
          <w:szCs w:val="22"/>
        </w:rPr>
      </w:pPr>
    </w:p>
    <w:p w14:paraId="0E8F4EAB" w14:textId="77777777" w:rsidR="00951FC0" w:rsidRPr="00A97459" w:rsidRDefault="00951FC0" w:rsidP="00951FC0">
      <w:r>
        <w:t xml:space="preserve">Swan, P, Swan C, Fitzgerald, M., Peet, M, </w:t>
      </w:r>
      <w:proofErr w:type="spellStart"/>
      <w:r>
        <w:t>Torla</w:t>
      </w:r>
      <w:proofErr w:type="spellEnd"/>
      <w:r>
        <w:t xml:space="preserve">, J, Hall, V., "Space Elevators are the Transportation Story of the 21st Century," ISEC Study Report, www.lulu.com, 2020. </w:t>
      </w:r>
    </w:p>
    <w:p w14:paraId="5B740FCF" w14:textId="77777777" w:rsidR="00951FC0" w:rsidRPr="00211EE7" w:rsidRDefault="00951FC0" w:rsidP="00951FC0">
      <w:pPr>
        <w:widowControl w:val="0"/>
        <w:tabs>
          <w:tab w:val="left" w:pos="220"/>
          <w:tab w:val="left" w:pos="720"/>
        </w:tabs>
        <w:autoSpaceDE w:val="0"/>
        <w:autoSpaceDN w:val="0"/>
        <w:adjustRightInd w:val="0"/>
        <w:rPr>
          <w:color w:val="0070C0"/>
        </w:rPr>
      </w:pPr>
    </w:p>
    <w:sectPr w:rsidR="00951FC0" w:rsidRPr="00211EE7" w:rsidSect="00BA10AE">
      <w:foot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A71D1" w14:textId="77777777" w:rsidR="006145EA" w:rsidRDefault="006145EA" w:rsidP="00356900">
      <w:r>
        <w:separator/>
      </w:r>
    </w:p>
  </w:endnote>
  <w:endnote w:type="continuationSeparator" w:id="0">
    <w:p w14:paraId="69E9743D" w14:textId="77777777" w:rsidR="006145EA" w:rsidRDefault="006145EA" w:rsidP="00356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Lucida Grande">
    <w:altName w:val="﷽﷽﷽﷽﷽﷽﷽﷽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DFKai-SB">
    <w:altName w:val="宋体"/>
    <w:panose1 w:val="00000000000000000000"/>
    <w:charset w:val="00"/>
    <w:family w:val="roman"/>
    <w:notTrueType/>
    <w:pitch w:val="default"/>
  </w:font>
  <w:font w:name="CMR10">
    <w:altName w:val="Cambria"/>
    <w:panose1 w:val="00000000000000000000"/>
    <w:charset w:val="00"/>
    <w:family w:val="roman"/>
    <w:notTrueType/>
    <w:pitch w:val="default"/>
  </w:font>
  <w:font w:name="CMSY10">
    <w:altName w:val="Cambria"/>
    <w:panose1 w:val="00000000000000000000"/>
    <w:charset w:val="00"/>
    <w:family w:val="roman"/>
    <w:notTrueType/>
    <w:pitch w:val="default"/>
  </w:font>
  <w:font w:name="Times Roman">
    <w:altName w:val="Times New Roman"/>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86F6" w14:textId="35804E16" w:rsidR="00426318" w:rsidRPr="00E543BD" w:rsidRDefault="00426318" w:rsidP="004E42D6">
    <w:pPr>
      <w:rPr>
        <w:rFonts w:ascii="Helvetica" w:hAnsi="Helvetica" w:cs="Helvetica"/>
        <w:color w:val="0000FF"/>
        <w:sz w:val="22"/>
      </w:rPr>
    </w:pPr>
    <w:r w:rsidRPr="00E543BD">
      <w:rPr>
        <w:rFonts w:ascii="Helvetica" w:hAnsi="Helvetica" w:cs="Helvetica"/>
        <w:color w:val="0000FF"/>
        <w:sz w:val="22"/>
      </w:rPr>
      <w:t xml:space="preserve"> </w:t>
    </w:r>
  </w:p>
  <w:p w14:paraId="7FAB9BED" w14:textId="77777777" w:rsidR="00426318" w:rsidRDefault="004263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EE8FB" w14:textId="77777777" w:rsidR="006145EA" w:rsidRDefault="006145EA" w:rsidP="00356900">
      <w:r>
        <w:separator/>
      </w:r>
    </w:p>
  </w:footnote>
  <w:footnote w:type="continuationSeparator" w:id="0">
    <w:p w14:paraId="745A0D9B" w14:textId="77777777" w:rsidR="006145EA" w:rsidRDefault="006145EA" w:rsidP="00356900">
      <w:r>
        <w:continuationSeparator/>
      </w:r>
    </w:p>
  </w:footnote>
  <w:footnote w:id="1">
    <w:p w14:paraId="345891D2" w14:textId="54B939CD" w:rsidR="00B7120A" w:rsidRDefault="00B7120A">
      <w:pPr>
        <w:pStyle w:val="FootnoteText"/>
      </w:pPr>
      <w:r>
        <w:rPr>
          <w:rStyle w:val="FootnoteReference"/>
        </w:rPr>
        <w:footnoteRef/>
      </w:r>
      <w:r>
        <w:t xml:space="preserve"> </w:t>
      </w:r>
      <w:proofErr w:type="spellStart"/>
      <w:r>
        <w:t>Iaa</w:t>
      </w:r>
      <w:proofErr w:type="spellEnd"/>
      <w:r>
        <w:t xml:space="preserve"> book 1</w:t>
      </w:r>
    </w:p>
  </w:footnote>
  <w:footnote w:id="2">
    <w:p w14:paraId="53B6AB0A" w14:textId="661995AA" w:rsidR="00B7120A" w:rsidRDefault="00B7120A">
      <w:pPr>
        <w:pStyle w:val="FootnoteText"/>
      </w:pPr>
      <w:r>
        <w:rPr>
          <w:rStyle w:val="FootnoteReference"/>
        </w:rPr>
        <w:footnoteRef/>
      </w:r>
      <w:r>
        <w:t xml:space="preserve"> A</w:t>
      </w:r>
      <w:r w:rsidR="006A215D">
        <w:t xml:space="preserve">&amp;R </w:t>
      </w:r>
    </w:p>
  </w:footnote>
  <w:footnote w:id="3">
    <w:p w14:paraId="19E48265" w14:textId="77777777" w:rsidR="005F5973" w:rsidRDefault="005F5973" w:rsidP="005F5973">
      <w:pPr>
        <w:pStyle w:val="FootnoteText"/>
      </w:pPr>
      <w:r>
        <w:rPr>
          <w:rStyle w:val="FootnoteReference"/>
        </w:rPr>
        <w:footnoteRef/>
      </w:r>
      <w:r>
        <w:t xml:space="preserve"> Eddy, </w:t>
      </w:r>
      <w:proofErr w:type="spellStart"/>
      <w:r>
        <w:t>etc</w:t>
      </w:r>
      <w:proofErr w:type="spellEnd"/>
      <w:r>
        <w:t xml:space="preserve"> green road to space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7462BC"/>
    <w:multiLevelType w:val="hybridMultilevel"/>
    <w:tmpl w:val="449CA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24438A"/>
    <w:multiLevelType w:val="hybridMultilevel"/>
    <w:tmpl w:val="6C9AE122"/>
    <w:lvl w:ilvl="0" w:tplc="0409000F">
      <w:start w:val="1"/>
      <w:numFmt w:val="decimal"/>
      <w:lvlText w:val="%1."/>
      <w:lvlJc w:val="left"/>
      <w:pPr>
        <w:ind w:left="1450" w:hanging="360"/>
      </w:pPr>
    </w:lvl>
    <w:lvl w:ilvl="1" w:tplc="6F98B7BA">
      <w:start w:val="1"/>
      <w:numFmt w:val="bullet"/>
      <w:lvlText w:val=""/>
      <w:lvlJc w:val="left"/>
      <w:pPr>
        <w:ind w:left="2170" w:hanging="360"/>
      </w:pPr>
      <w:rPr>
        <w:rFonts w:ascii="Symbol" w:hAnsi="Symbol" w:hint="default"/>
      </w:rPr>
    </w:lvl>
    <w:lvl w:ilvl="2" w:tplc="0409001B" w:tentative="1">
      <w:start w:val="1"/>
      <w:numFmt w:val="lowerRoman"/>
      <w:lvlText w:val="%3."/>
      <w:lvlJc w:val="right"/>
      <w:pPr>
        <w:ind w:left="2890" w:hanging="180"/>
      </w:pPr>
    </w:lvl>
    <w:lvl w:ilvl="3" w:tplc="0409000F" w:tentative="1">
      <w:start w:val="1"/>
      <w:numFmt w:val="decimal"/>
      <w:lvlText w:val="%4."/>
      <w:lvlJc w:val="left"/>
      <w:pPr>
        <w:ind w:left="3610" w:hanging="360"/>
      </w:pPr>
    </w:lvl>
    <w:lvl w:ilvl="4" w:tplc="04090019" w:tentative="1">
      <w:start w:val="1"/>
      <w:numFmt w:val="lowerLetter"/>
      <w:lvlText w:val="%5."/>
      <w:lvlJc w:val="left"/>
      <w:pPr>
        <w:ind w:left="4330" w:hanging="360"/>
      </w:pPr>
    </w:lvl>
    <w:lvl w:ilvl="5" w:tplc="0409001B" w:tentative="1">
      <w:start w:val="1"/>
      <w:numFmt w:val="lowerRoman"/>
      <w:lvlText w:val="%6."/>
      <w:lvlJc w:val="right"/>
      <w:pPr>
        <w:ind w:left="5050" w:hanging="180"/>
      </w:pPr>
    </w:lvl>
    <w:lvl w:ilvl="6" w:tplc="0409000F" w:tentative="1">
      <w:start w:val="1"/>
      <w:numFmt w:val="decimal"/>
      <w:lvlText w:val="%7."/>
      <w:lvlJc w:val="left"/>
      <w:pPr>
        <w:ind w:left="5770" w:hanging="360"/>
      </w:pPr>
    </w:lvl>
    <w:lvl w:ilvl="7" w:tplc="04090019" w:tentative="1">
      <w:start w:val="1"/>
      <w:numFmt w:val="lowerLetter"/>
      <w:lvlText w:val="%8."/>
      <w:lvlJc w:val="left"/>
      <w:pPr>
        <w:ind w:left="6490" w:hanging="360"/>
      </w:pPr>
    </w:lvl>
    <w:lvl w:ilvl="8" w:tplc="0409001B" w:tentative="1">
      <w:start w:val="1"/>
      <w:numFmt w:val="lowerRoman"/>
      <w:lvlText w:val="%9."/>
      <w:lvlJc w:val="right"/>
      <w:pPr>
        <w:ind w:left="7210" w:hanging="180"/>
      </w:pPr>
    </w:lvl>
  </w:abstractNum>
  <w:abstractNum w:abstractNumId="3" w15:restartNumberingAfterBreak="0">
    <w:nsid w:val="06E51EA6"/>
    <w:multiLevelType w:val="hybridMultilevel"/>
    <w:tmpl w:val="E990B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E3A59"/>
    <w:multiLevelType w:val="hybridMultilevel"/>
    <w:tmpl w:val="359E38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13F61"/>
    <w:multiLevelType w:val="hybridMultilevel"/>
    <w:tmpl w:val="6B8AFE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E13FE7"/>
    <w:multiLevelType w:val="hybridMultilevel"/>
    <w:tmpl w:val="A9F834C8"/>
    <w:lvl w:ilvl="0" w:tplc="2D9C1F28">
      <w:start w:val="1"/>
      <w:numFmt w:val="decimal"/>
      <w:lvlText w:val="%1."/>
      <w:lvlJc w:val="left"/>
      <w:pPr>
        <w:tabs>
          <w:tab w:val="num" w:pos="1080"/>
        </w:tabs>
        <w:ind w:left="1080" w:hanging="360"/>
      </w:pPr>
    </w:lvl>
    <w:lvl w:ilvl="1" w:tplc="BEAA30DC" w:tentative="1">
      <w:start w:val="1"/>
      <w:numFmt w:val="decimal"/>
      <w:lvlText w:val="%2."/>
      <w:lvlJc w:val="left"/>
      <w:pPr>
        <w:tabs>
          <w:tab w:val="num" w:pos="1800"/>
        </w:tabs>
        <w:ind w:left="1800" w:hanging="360"/>
      </w:pPr>
    </w:lvl>
    <w:lvl w:ilvl="2" w:tplc="C2303FD2" w:tentative="1">
      <w:start w:val="1"/>
      <w:numFmt w:val="decimal"/>
      <w:lvlText w:val="%3."/>
      <w:lvlJc w:val="left"/>
      <w:pPr>
        <w:tabs>
          <w:tab w:val="num" w:pos="2520"/>
        </w:tabs>
        <w:ind w:left="2520" w:hanging="360"/>
      </w:pPr>
    </w:lvl>
    <w:lvl w:ilvl="3" w:tplc="DCEAC136" w:tentative="1">
      <w:start w:val="1"/>
      <w:numFmt w:val="decimal"/>
      <w:lvlText w:val="%4."/>
      <w:lvlJc w:val="left"/>
      <w:pPr>
        <w:tabs>
          <w:tab w:val="num" w:pos="3240"/>
        </w:tabs>
        <w:ind w:left="3240" w:hanging="360"/>
      </w:pPr>
    </w:lvl>
    <w:lvl w:ilvl="4" w:tplc="BEAC7D00" w:tentative="1">
      <w:start w:val="1"/>
      <w:numFmt w:val="decimal"/>
      <w:lvlText w:val="%5."/>
      <w:lvlJc w:val="left"/>
      <w:pPr>
        <w:tabs>
          <w:tab w:val="num" w:pos="3960"/>
        </w:tabs>
        <w:ind w:left="3960" w:hanging="360"/>
      </w:pPr>
    </w:lvl>
    <w:lvl w:ilvl="5" w:tplc="DD7EE456" w:tentative="1">
      <w:start w:val="1"/>
      <w:numFmt w:val="decimal"/>
      <w:lvlText w:val="%6."/>
      <w:lvlJc w:val="left"/>
      <w:pPr>
        <w:tabs>
          <w:tab w:val="num" w:pos="4680"/>
        </w:tabs>
        <w:ind w:left="4680" w:hanging="360"/>
      </w:pPr>
    </w:lvl>
    <w:lvl w:ilvl="6" w:tplc="42427450" w:tentative="1">
      <w:start w:val="1"/>
      <w:numFmt w:val="decimal"/>
      <w:lvlText w:val="%7."/>
      <w:lvlJc w:val="left"/>
      <w:pPr>
        <w:tabs>
          <w:tab w:val="num" w:pos="5400"/>
        </w:tabs>
        <w:ind w:left="5400" w:hanging="360"/>
      </w:pPr>
    </w:lvl>
    <w:lvl w:ilvl="7" w:tplc="8596621E" w:tentative="1">
      <w:start w:val="1"/>
      <w:numFmt w:val="decimal"/>
      <w:lvlText w:val="%8."/>
      <w:lvlJc w:val="left"/>
      <w:pPr>
        <w:tabs>
          <w:tab w:val="num" w:pos="6120"/>
        </w:tabs>
        <w:ind w:left="6120" w:hanging="360"/>
      </w:pPr>
    </w:lvl>
    <w:lvl w:ilvl="8" w:tplc="84E00690" w:tentative="1">
      <w:start w:val="1"/>
      <w:numFmt w:val="decimal"/>
      <w:lvlText w:val="%9."/>
      <w:lvlJc w:val="left"/>
      <w:pPr>
        <w:tabs>
          <w:tab w:val="num" w:pos="6840"/>
        </w:tabs>
        <w:ind w:left="6840" w:hanging="360"/>
      </w:pPr>
    </w:lvl>
  </w:abstractNum>
  <w:abstractNum w:abstractNumId="7" w15:restartNumberingAfterBreak="0">
    <w:nsid w:val="17D27C54"/>
    <w:multiLevelType w:val="hybridMultilevel"/>
    <w:tmpl w:val="F18E806A"/>
    <w:lvl w:ilvl="0" w:tplc="D81C395A">
      <w:start w:val="1"/>
      <w:numFmt w:val="bullet"/>
      <w:lvlText w:val="–"/>
      <w:lvlJc w:val="left"/>
      <w:pPr>
        <w:tabs>
          <w:tab w:val="num" w:pos="720"/>
        </w:tabs>
        <w:ind w:left="720" w:hanging="360"/>
      </w:pPr>
      <w:rPr>
        <w:rFonts w:ascii="Arial" w:hAnsi="Arial" w:hint="default"/>
      </w:rPr>
    </w:lvl>
    <w:lvl w:ilvl="1" w:tplc="C550044E">
      <w:start w:val="1"/>
      <w:numFmt w:val="bullet"/>
      <w:lvlText w:val="–"/>
      <w:lvlJc w:val="left"/>
      <w:pPr>
        <w:tabs>
          <w:tab w:val="num" w:pos="1440"/>
        </w:tabs>
        <w:ind w:left="1440" w:hanging="360"/>
      </w:pPr>
      <w:rPr>
        <w:rFonts w:ascii="Arial" w:hAnsi="Arial" w:hint="default"/>
      </w:rPr>
    </w:lvl>
    <w:lvl w:ilvl="2" w:tplc="A79C94A4" w:tentative="1">
      <w:start w:val="1"/>
      <w:numFmt w:val="bullet"/>
      <w:lvlText w:val="–"/>
      <w:lvlJc w:val="left"/>
      <w:pPr>
        <w:tabs>
          <w:tab w:val="num" w:pos="2160"/>
        </w:tabs>
        <w:ind w:left="2160" w:hanging="360"/>
      </w:pPr>
      <w:rPr>
        <w:rFonts w:ascii="Arial" w:hAnsi="Arial" w:hint="default"/>
      </w:rPr>
    </w:lvl>
    <w:lvl w:ilvl="3" w:tplc="E35CEAF8" w:tentative="1">
      <w:start w:val="1"/>
      <w:numFmt w:val="bullet"/>
      <w:lvlText w:val="–"/>
      <w:lvlJc w:val="left"/>
      <w:pPr>
        <w:tabs>
          <w:tab w:val="num" w:pos="2880"/>
        </w:tabs>
        <w:ind w:left="2880" w:hanging="360"/>
      </w:pPr>
      <w:rPr>
        <w:rFonts w:ascii="Arial" w:hAnsi="Arial" w:hint="default"/>
      </w:rPr>
    </w:lvl>
    <w:lvl w:ilvl="4" w:tplc="B8B450E6" w:tentative="1">
      <w:start w:val="1"/>
      <w:numFmt w:val="bullet"/>
      <w:lvlText w:val="–"/>
      <w:lvlJc w:val="left"/>
      <w:pPr>
        <w:tabs>
          <w:tab w:val="num" w:pos="3600"/>
        </w:tabs>
        <w:ind w:left="3600" w:hanging="360"/>
      </w:pPr>
      <w:rPr>
        <w:rFonts w:ascii="Arial" w:hAnsi="Arial" w:hint="default"/>
      </w:rPr>
    </w:lvl>
    <w:lvl w:ilvl="5" w:tplc="F8649E02" w:tentative="1">
      <w:start w:val="1"/>
      <w:numFmt w:val="bullet"/>
      <w:lvlText w:val="–"/>
      <w:lvlJc w:val="left"/>
      <w:pPr>
        <w:tabs>
          <w:tab w:val="num" w:pos="4320"/>
        </w:tabs>
        <w:ind w:left="4320" w:hanging="360"/>
      </w:pPr>
      <w:rPr>
        <w:rFonts w:ascii="Arial" w:hAnsi="Arial" w:hint="default"/>
      </w:rPr>
    </w:lvl>
    <w:lvl w:ilvl="6" w:tplc="61A4628A" w:tentative="1">
      <w:start w:val="1"/>
      <w:numFmt w:val="bullet"/>
      <w:lvlText w:val="–"/>
      <w:lvlJc w:val="left"/>
      <w:pPr>
        <w:tabs>
          <w:tab w:val="num" w:pos="5040"/>
        </w:tabs>
        <w:ind w:left="5040" w:hanging="360"/>
      </w:pPr>
      <w:rPr>
        <w:rFonts w:ascii="Arial" w:hAnsi="Arial" w:hint="default"/>
      </w:rPr>
    </w:lvl>
    <w:lvl w:ilvl="7" w:tplc="DE7E231A" w:tentative="1">
      <w:start w:val="1"/>
      <w:numFmt w:val="bullet"/>
      <w:lvlText w:val="–"/>
      <w:lvlJc w:val="left"/>
      <w:pPr>
        <w:tabs>
          <w:tab w:val="num" w:pos="5760"/>
        </w:tabs>
        <w:ind w:left="5760" w:hanging="360"/>
      </w:pPr>
      <w:rPr>
        <w:rFonts w:ascii="Arial" w:hAnsi="Arial" w:hint="default"/>
      </w:rPr>
    </w:lvl>
    <w:lvl w:ilvl="8" w:tplc="0060D1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D13337"/>
    <w:multiLevelType w:val="hybridMultilevel"/>
    <w:tmpl w:val="F24AB186"/>
    <w:lvl w:ilvl="0" w:tplc="F27AEBAE">
      <w:start w:val="1"/>
      <w:numFmt w:val="decimal"/>
      <w:lvlText w:val="%1."/>
      <w:lvlJc w:val="left"/>
      <w:pPr>
        <w:tabs>
          <w:tab w:val="num" w:pos="720"/>
        </w:tabs>
        <w:ind w:left="720" w:hanging="360"/>
      </w:pPr>
    </w:lvl>
    <w:lvl w:ilvl="1" w:tplc="FB3250AA" w:tentative="1">
      <w:start w:val="1"/>
      <w:numFmt w:val="decimal"/>
      <w:lvlText w:val="%2."/>
      <w:lvlJc w:val="left"/>
      <w:pPr>
        <w:tabs>
          <w:tab w:val="num" w:pos="1440"/>
        </w:tabs>
        <w:ind w:left="1440" w:hanging="360"/>
      </w:pPr>
    </w:lvl>
    <w:lvl w:ilvl="2" w:tplc="D83C2E7E" w:tentative="1">
      <w:start w:val="1"/>
      <w:numFmt w:val="decimal"/>
      <w:lvlText w:val="%3."/>
      <w:lvlJc w:val="left"/>
      <w:pPr>
        <w:tabs>
          <w:tab w:val="num" w:pos="2160"/>
        </w:tabs>
        <w:ind w:left="2160" w:hanging="360"/>
      </w:pPr>
    </w:lvl>
    <w:lvl w:ilvl="3" w:tplc="0CC2BE50" w:tentative="1">
      <w:start w:val="1"/>
      <w:numFmt w:val="decimal"/>
      <w:lvlText w:val="%4."/>
      <w:lvlJc w:val="left"/>
      <w:pPr>
        <w:tabs>
          <w:tab w:val="num" w:pos="2880"/>
        </w:tabs>
        <w:ind w:left="2880" w:hanging="360"/>
      </w:pPr>
    </w:lvl>
    <w:lvl w:ilvl="4" w:tplc="AC0CDC6C" w:tentative="1">
      <w:start w:val="1"/>
      <w:numFmt w:val="decimal"/>
      <w:lvlText w:val="%5."/>
      <w:lvlJc w:val="left"/>
      <w:pPr>
        <w:tabs>
          <w:tab w:val="num" w:pos="3600"/>
        </w:tabs>
        <w:ind w:left="3600" w:hanging="360"/>
      </w:pPr>
    </w:lvl>
    <w:lvl w:ilvl="5" w:tplc="C37CE538" w:tentative="1">
      <w:start w:val="1"/>
      <w:numFmt w:val="decimal"/>
      <w:lvlText w:val="%6."/>
      <w:lvlJc w:val="left"/>
      <w:pPr>
        <w:tabs>
          <w:tab w:val="num" w:pos="4320"/>
        </w:tabs>
        <w:ind w:left="4320" w:hanging="360"/>
      </w:pPr>
    </w:lvl>
    <w:lvl w:ilvl="6" w:tplc="1ED09990" w:tentative="1">
      <w:start w:val="1"/>
      <w:numFmt w:val="decimal"/>
      <w:lvlText w:val="%7."/>
      <w:lvlJc w:val="left"/>
      <w:pPr>
        <w:tabs>
          <w:tab w:val="num" w:pos="5040"/>
        </w:tabs>
        <w:ind w:left="5040" w:hanging="360"/>
      </w:pPr>
    </w:lvl>
    <w:lvl w:ilvl="7" w:tplc="C31819C8" w:tentative="1">
      <w:start w:val="1"/>
      <w:numFmt w:val="decimal"/>
      <w:lvlText w:val="%8."/>
      <w:lvlJc w:val="left"/>
      <w:pPr>
        <w:tabs>
          <w:tab w:val="num" w:pos="5760"/>
        </w:tabs>
        <w:ind w:left="5760" w:hanging="360"/>
      </w:pPr>
    </w:lvl>
    <w:lvl w:ilvl="8" w:tplc="62D4B8D0" w:tentative="1">
      <w:start w:val="1"/>
      <w:numFmt w:val="decimal"/>
      <w:lvlText w:val="%9."/>
      <w:lvlJc w:val="left"/>
      <w:pPr>
        <w:tabs>
          <w:tab w:val="num" w:pos="6480"/>
        </w:tabs>
        <w:ind w:left="6480" w:hanging="360"/>
      </w:pPr>
    </w:lvl>
  </w:abstractNum>
  <w:abstractNum w:abstractNumId="9" w15:restartNumberingAfterBreak="0">
    <w:nsid w:val="20702268"/>
    <w:multiLevelType w:val="hybridMultilevel"/>
    <w:tmpl w:val="683E6C5E"/>
    <w:lvl w:ilvl="0" w:tplc="E17CF59A">
      <w:start w:val="1"/>
      <w:numFmt w:val="decimal"/>
      <w:lvlText w:val="%1."/>
      <w:lvlJc w:val="left"/>
      <w:pPr>
        <w:tabs>
          <w:tab w:val="num" w:pos="720"/>
        </w:tabs>
        <w:ind w:left="720" w:hanging="360"/>
      </w:pPr>
    </w:lvl>
    <w:lvl w:ilvl="1" w:tplc="CE007D16" w:tentative="1">
      <w:start w:val="1"/>
      <w:numFmt w:val="decimal"/>
      <w:lvlText w:val="%2."/>
      <w:lvlJc w:val="left"/>
      <w:pPr>
        <w:tabs>
          <w:tab w:val="num" w:pos="1440"/>
        </w:tabs>
        <w:ind w:left="1440" w:hanging="360"/>
      </w:pPr>
    </w:lvl>
    <w:lvl w:ilvl="2" w:tplc="59685D42" w:tentative="1">
      <w:start w:val="1"/>
      <w:numFmt w:val="decimal"/>
      <w:lvlText w:val="%3."/>
      <w:lvlJc w:val="left"/>
      <w:pPr>
        <w:tabs>
          <w:tab w:val="num" w:pos="2160"/>
        </w:tabs>
        <w:ind w:left="2160" w:hanging="360"/>
      </w:pPr>
    </w:lvl>
    <w:lvl w:ilvl="3" w:tplc="226E2E44" w:tentative="1">
      <w:start w:val="1"/>
      <w:numFmt w:val="decimal"/>
      <w:lvlText w:val="%4."/>
      <w:lvlJc w:val="left"/>
      <w:pPr>
        <w:tabs>
          <w:tab w:val="num" w:pos="2880"/>
        </w:tabs>
        <w:ind w:left="2880" w:hanging="360"/>
      </w:pPr>
    </w:lvl>
    <w:lvl w:ilvl="4" w:tplc="72E89F54" w:tentative="1">
      <w:start w:val="1"/>
      <w:numFmt w:val="decimal"/>
      <w:lvlText w:val="%5."/>
      <w:lvlJc w:val="left"/>
      <w:pPr>
        <w:tabs>
          <w:tab w:val="num" w:pos="3600"/>
        </w:tabs>
        <w:ind w:left="3600" w:hanging="360"/>
      </w:pPr>
    </w:lvl>
    <w:lvl w:ilvl="5" w:tplc="ED02F24E" w:tentative="1">
      <w:start w:val="1"/>
      <w:numFmt w:val="decimal"/>
      <w:lvlText w:val="%6."/>
      <w:lvlJc w:val="left"/>
      <w:pPr>
        <w:tabs>
          <w:tab w:val="num" w:pos="4320"/>
        </w:tabs>
        <w:ind w:left="4320" w:hanging="360"/>
      </w:pPr>
    </w:lvl>
    <w:lvl w:ilvl="6" w:tplc="1CBA833E" w:tentative="1">
      <w:start w:val="1"/>
      <w:numFmt w:val="decimal"/>
      <w:lvlText w:val="%7."/>
      <w:lvlJc w:val="left"/>
      <w:pPr>
        <w:tabs>
          <w:tab w:val="num" w:pos="5040"/>
        </w:tabs>
        <w:ind w:left="5040" w:hanging="360"/>
      </w:pPr>
    </w:lvl>
    <w:lvl w:ilvl="7" w:tplc="7AE06DF8" w:tentative="1">
      <w:start w:val="1"/>
      <w:numFmt w:val="decimal"/>
      <w:lvlText w:val="%8."/>
      <w:lvlJc w:val="left"/>
      <w:pPr>
        <w:tabs>
          <w:tab w:val="num" w:pos="5760"/>
        </w:tabs>
        <w:ind w:left="5760" w:hanging="360"/>
      </w:pPr>
    </w:lvl>
    <w:lvl w:ilvl="8" w:tplc="5C5C9152" w:tentative="1">
      <w:start w:val="1"/>
      <w:numFmt w:val="decimal"/>
      <w:lvlText w:val="%9."/>
      <w:lvlJc w:val="left"/>
      <w:pPr>
        <w:tabs>
          <w:tab w:val="num" w:pos="6480"/>
        </w:tabs>
        <w:ind w:left="6480" w:hanging="360"/>
      </w:pPr>
    </w:lvl>
  </w:abstractNum>
  <w:abstractNum w:abstractNumId="10" w15:restartNumberingAfterBreak="0">
    <w:nsid w:val="2A552A47"/>
    <w:multiLevelType w:val="hybridMultilevel"/>
    <w:tmpl w:val="2CB2F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61A11"/>
    <w:multiLevelType w:val="hybridMultilevel"/>
    <w:tmpl w:val="7C70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B4133"/>
    <w:multiLevelType w:val="hybridMultilevel"/>
    <w:tmpl w:val="0FAC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A1A84"/>
    <w:multiLevelType w:val="hybridMultilevel"/>
    <w:tmpl w:val="DFB6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B960CD"/>
    <w:multiLevelType w:val="hybridMultilevel"/>
    <w:tmpl w:val="C2DA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530EA4"/>
    <w:multiLevelType w:val="hybridMultilevel"/>
    <w:tmpl w:val="AA920F4C"/>
    <w:lvl w:ilvl="0" w:tplc="3CB2F666">
      <w:start w:val="1"/>
      <w:numFmt w:val="bullet"/>
      <w:lvlText w:val="•"/>
      <w:lvlJc w:val="left"/>
      <w:pPr>
        <w:tabs>
          <w:tab w:val="num" w:pos="720"/>
        </w:tabs>
        <w:ind w:left="720" w:hanging="360"/>
      </w:pPr>
      <w:rPr>
        <w:rFonts w:ascii="Arial" w:hAnsi="Arial" w:hint="default"/>
      </w:rPr>
    </w:lvl>
    <w:lvl w:ilvl="1" w:tplc="55121772" w:tentative="1">
      <w:start w:val="1"/>
      <w:numFmt w:val="bullet"/>
      <w:lvlText w:val="•"/>
      <w:lvlJc w:val="left"/>
      <w:pPr>
        <w:tabs>
          <w:tab w:val="num" w:pos="1440"/>
        </w:tabs>
        <w:ind w:left="1440" w:hanging="360"/>
      </w:pPr>
      <w:rPr>
        <w:rFonts w:ascii="Arial" w:hAnsi="Arial" w:hint="default"/>
      </w:rPr>
    </w:lvl>
    <w:lvl w:ilvl="2" w:tplc="EE468E1E" w:tentative="1">
      <w:start w:val="1"/>
      <w:numFmt w:val="bullet"/>
      <w:lvlText w:val="•"/>
      <w:lvlJc w:val="left"/>
      <w:pPr>
        <w:tabs>
          <w:tab w:val="num" w:pos="2160"/>
        </w:tabs>
        <w:ind w:left="2160" w:hanging="360"/>
      </w:pPr>
      <w:rPr>
        <w:rFonts w:ascii="Arial" w:hAnsi="Arial" w:hint="default"/>
      </w:rPr>
    </w:lvl>
    <w:lvl w:ilvl="3" w:tplc="A7AC2176" w:tentative="1">
      <w:start w:val="1"/>
      <w:numFmt w:val="bullet"/>
      <w:lvlText w:val="•"/>
      <w:lvlJc w:val="left"/>
      <w:pPr>
        <w:tabs>
          <w:tab w:val="num" w:pos="2880"/>
        </w:tabs>
        <w:ind w:left="2880" w:hanging="360"/>
      </w:pPr>
      <w:rPr>
        <w:rFonts w:ascii="Arial" w:hAnsi="Arial" w:hint="default"/>
      </w:rPr>
    </w:lvl>
    <w:lvl w:ilvl="4" w:tplc="244E44BE" w:tentative="1">
      <w:start w:val="1"/>
      <w:numFmt w:val="bullet"/>
      <w:lvlText w:val="•"/>
      <w:lvlJc w:val="left"/>
      <w:pPr>
        <w:tabs>
          <w:tab w:val="num" w:pos="3600"/>
        </w:tabs>
        <w:ind w:left="3600" w:hanging="360"/>
      </w:pPr>
      <w:rPr>
        <w:rFonts w:ascii="Arial" w:hAnsi="Arial" w:hint="default"/>
      </w:rPr>
    </w:lvl>
    <w:lvl w:ilvl="5" w:tplc="B0FE8684" w:tentative="1">
      <w:start w:val="1"/>
      <w:numFmt w:val="bullet"/>
      <w:lvlText w:val="•"/>
      <w:lvlJc w:val="left"/>
      <w:pPr>
        <w:tabs>
          <w:tab w:val="num" w:pos="4320"/>
        </w:tabs>
        <w:ind w:left="4320" w:hanging="360"/>
      </w:pPr>
      <w:rPr>
        <w:rFonts w:ascii="Arial" w:hAnsi="Arial" w:hint="default"/>
      </w:rPr>
    </w:lvl>
    <w:lvl w:ilvl="6" w:tplc="FDBA695A" w:tentative="1">
      <w:start w:val="1"/>
      <w:numFmt w:val="bullet"/>
      <w:lvlText w:val="•"/>
      <w:lvlJc w:val="left"/>
      <w:pPr>
        <w:tabs>
          <w:tab w:val="num" w:pos="5040"/>
        </w:tabs>
        <w:ind w:left="5040" w:hanging="360"/>
      </w:pPr>
      <w:rPr>
        <w:rFonts w:ascii="Arial" w:hAnsi="Arial" w:hint="default"/>
      </w:rPr>
    </w:lvl>
    <w:lvl w:ilvl="7" w:tplc="0A468662" w:tentative="1">
      <w:start w:val="1"/>
      <w:numFmt w:val="bullet"/>
      <w:lvlText w:val="•"/>
      <w:lvlJc w:val="left"/>
      <w:pPr>
        <w:tabs>
          <w:tab w:val="num" w:pos="5760"/>
        </w:tabs>
        <w:ind w:left="5760" w:hanging="360"/>
      </w:pPr>
      <w:rPr>
        <w:rFonts w:ascii="Arial" w:hAnsi="Arial" w:hint="default"/>
      </w:rPr>
    </w:lvl>
    <w:lvl w:ilvl="8" w:tplc="FBE2C9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103525"/>
    <w:multiLevelType w:val="hybridMultilevel"/>
    <w:tmpl w:val="204A3280"/>
    <w:lvl w:ilvl="0" w:tplc="0409000F">
      <w:start w:val="1"/>
      <w:numFmt w:val="decimal"/>
      <w:lvlText w:val="%1."/>
      <w:lvlJc w:val="left"/>
      <w:pPr>
        <w:ind w:left="1509" w:hanging="360"/>
      </w:pPr>
    </w:lvl>
    <w:lvl w:ilvl="1" w:tplc="04090019">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17" w15:restartNumberingAfterBreak="0">
    <w:nsid w:val="41DB2A6B"/>
    <w:multiLevelType w:val="hybridMultilevel"/>
    <w:tmpl w:val="1690E8CE"/>
    <w:lvl w:ilvl="0" w:tplc="E07EEEEA">
      <w:start w:val="1"/>
      <w:numFmt w:val="decimal"/>
      <w:lvlText w:val="%1."/>
      <w:lvlJc w:val="left"/>
      <w:pPr>
        <w:tabs>
          <w:tab w:val="num" w:pos="720"/>
        </w:tabs>
        <w:ind w:left="720" w:hanging="360"/>
      </w:pPr>
    </w:lvl>
    <w:lvl w:ilvl="1" w:tplc="4EE05E2E" w:tentative="1">
      <w:start w:val="1"/>
      <w:numFmt w:val="decimal"/>
      <w:lvlText w:val="%2."/>
      <w:lvlJc w:val="left"/>
      <w:pPr>
        <w:tabs>
          <w:tab w:val="num" w:pos="1440"/>
        </w:tabs>
        <w:ind w:left="1440" w:hanging="360"/>
      </w:pPr>
    </w:lvl>
    <w:lvl w:ilvl="2" w:tplc="6A022AA4" w:tentative="1">
      <w:start w:val="1"/>
      <w:numFmt w:val="decimal"/>
      <w:lvlText w:val="%3."/>
      <w:lvlJc w:val="left"/>
      <w:pPr>
        <w:tabs>
          <w:tab w:val="num" w:pos="2160"/>
        </w:tabs>
        <w:ind w:left="2160" w:hanging="360"/>
      </w:pPr>
    </w:lvl>
    <w:lvl w:ilvl="3" w:tplc="427283EC" w:tentative="1">
      <w:start w:val="1"/>
      <w:numFmt w:val="decimal"/>
      <w:lvlText w:val="%4."/>
      <w:lvlJc w:val="left"/>
      <w:pPr>
        <w:tabs>
          <w:tab w:val="num" w:pos="2880"/>
        </w:tabs>
        <w:ind w:left="2880" w:hanging="360"/>
      </w:pPr>
    </w:lvl>
    <w:lvl w:ilvl="4" w:tplc="6C904A34" w:tentative="1">
      <w:start w:val="1"/>
      <w:numFmt w:val="decimal"/>
      <w:lvlText w:val="%5."/>
      <w:lvlJc w:val="left"/>
      <w:pPr>
        <w:tabs>
          <w:tab w:val="num" w:pos="3600"/>
        </w:tabs>
        <w:ind w:left="3600" w:hanging="360"/>
      </w:pPr>
    </w:lvl>
    <w:lvl w:ilvl="5" w:tplc="29224C48" w:tentative="1">
      <w:start w:val="1"/>
      <w:numFmt w:val="decimal"/>
      <w:lvlText w:val="%6."/>
      <w:lvlJc w:val="left"/>
      <w:pPr>
        <w:tabs>
          <w:tab w:val="num" w:pos="4320"/>
        </w:tabs>
        <w:ind w:left="4320" w:hanging="360"/>
      </w:pPr>
    </w:lvl>
    <w:lvl w:ilvl="6" w:tplc="BE44C3D8" w:tentative="1">
      <w:start w:val="1"/>
      <w:numFmt w:val="decimal"/>
      <w:lvlText w:val="%7."/>
      <w:lvlJc w:val="left"/>
      <w:pPr>
        <w:tabs>
          <w:tab w:val="num" w:pos="5040"/>
        </w:tabs>
        <w:ind w:left="5040" w:hanging="360"/>
      </w:pPr>
    </w:lvl>
    <w:lvl w:ilvl="7" w:tplc="E0580CD0" w:tentative="1">
      <w:start w:val="1"/>
      <w:numFmt w:val="decimal"/>
      <w:lvlText w:val="%8."/>
      <w:lvlJc w:val="left"/>
      <w:pPr>
        <w:tabs>
          <w:tab w:val="num" w:pos="5760"/>
        </w:tabs>
        <w:ind w:left="5760" w:hanging="360"/>
      </w:pPr>
    </w:lvl>
    <w:lvl w:ilvl="8" w:tplc="DFC2951C" w:tentative="1">
      <w:start w:val="1"/>
      <w:numFmt w:val="decimal"/>
      <w:lvlText w:val="%9."/>
      <w:lvlJc w:val="left"/>
      <w:pPr>
        <w:tabs>
          <w:tab w:val="num" w:pos="6480"/>
        </w:tabs>
        <w:ind w:left="6480" w:hanging="360"/>
      </w:pPr>
    </w:lvl>
  </w:abstractNum>
  <w:abstractNum w:abstractNumId="18" w15:restartNumberingAfterBreak="0">
    <w:nsid w:val="46561F36"/>
    <w:multiLevelType w:val="hybridMultilevel"/>
    <w:tmpl w:val="21D68148"/>
    <w:lvl w:ilvl="0" w:tplc="307C8352">
      <w:start w:val="1"/>
      <w:numFmt w:val="bullet"/>
      <w:lvlText w:val="–"/>
      <w:lvlJc w:val="left"/>
      <w:pPr>
        <w:tabs>
          <w:tab w:val="num" w:pos="720"/>
        </w:tabs>
        <w:ind w:left="720" w:hanging="360"/>
      </w:pPr>
      <w:rPr>
        <w:rFonts w:ascii="Arial" w:hAnsi="Arial" w:hint="default"/>
      </w:rPr>
    </w:lvl>
    <w:lvl w:ilvl="1" w:tplc="6A362F22">
      <w:start w:val="1"/>
      <w:numFmt w:val="bullet"/>
      <w:lvlText w:val="–"/>
      <w:lvlJc w:val="left"/>
      <w:pPr>
        <w:tabs>
          <w:tab w:val="num" w:pos="1440"/>
        </w:tabs>
        <w:ind w:left="1440" w:hanging="360"/>
      </w:pPr>
      <w:rPr>
        <w:rFonts w:ascii="Arial" w:hAnsi="Arial" w:hint="default"/>
      </w:rPr>
    </w:lvl>
    <w:lvl w:ilvl="2" w:tplc="8F96EFDC" w:tentative="1">
      <w:start w:val="1"/>
      <w:numFmt w:val="bullet"/>
      <w:lvlText w:val="–"/>
      <w:lvlJc w:val="left"/>
      <w:pPr>
        <w:tabs>
          <w:tab w:val="num" w:pos="2160"/>
        </w:tabs>
        <w:ind w:left="2160" w:hanging="360"/>
      </w:pPr>
      <w:rPr>
        <w:rFonts w:ascii="Arial" w:hAnsi="Arial" w:hint="default"/>
      </w:rPr>
    </w:lvl>
    <w:lvl w:ilvl="3" w:tplc="759E9082" w:tentative="1">
      <w:start w:val="1"/>
      <w:numFmt w:val="bullet"/>
      <w:lvlText w:val="–"/>
      <w:lvlJc w:val="left"/>
      <w:pPr>
        <w:tabs>
          <w:tab w:val="num" w:pos="2880"/>
        </w:tabs>
        <w:ind w:left="2880" w:hanging="360"/>
      </w:pPr>
      <w:rPr>
        <w:rFonts w:ascii="Arial" w:hAnsi="Arial" w:hint="default"/>
      </w:rPr>
    </w:lvl>
    <w:lvl w:ilvl="4" w:tplc="60BEB07A" w:tentative="1">
      <w:start w:val="1"/>
      <w:numFmt w:val="bullet"/>
      <w:lvlText w:val="–"/>
      <w:lvlJc w:val="left"/>
      <w:pPr>
        <w:tabs>
          <w:tab w:val="num" w:pos="3600"/>
        </w:tabs>
        <w:ind w:left="3600" w:hanging="360"/>
      </w:pPr>
      <w:rPr>
        <w:rFonts w:ascii="Arial" w:hAnsi="Arial" w:hint="default"/>
      </w:rPr>
    </w:lvl>
    <w:lvl w:ilvl="5" w:tplc="DA56A46C" w:tentative="1">
      <w:start w:val="1"/>
      <w:numFmt w:val="bullet"/>
      <w:lvlText w:val="–"/>
      <w:lvlJc w:val="left"/>
      <w:pPr>
        <w:tabs>
          <w:tab w:val="num" w:pos="4320"/>
        </w:tabs>
        <w:ind w:left="4320" w:hanging="360"/>
      </w:pPr>
      <w:rPr>
        <w:rFonts w:ascii="Arial" w:hAnsi="Arial" w:hint="default"/>
      </w:rPr>
    </w:lvl>
    <w:lvl w:ilvl="6" w:tplc="5DE2079A" w:tentative="1">
      <w:start w:val="1"/>
      <w:numFmt w:val="bullet"/>
      <w:lvlText w:val="–"/>
      <w:lvlJc w:val="left"/>
      <w:pPr>
        <w:tabs>
          <w:tab w:val="num" w:pos="5040"/>
        </w:tabs>
        <w:ind w:left="5040" w:hanging="360"/>
      </w:pPr>
      <w:rPr>
        <w:rFonts w:ascii="Arial" w:hAnsi="Arial" w:hint="default"/>
      </w:rPr>
    </w:lvl>
    <w:lvl w:ilvl="7" w:tplc="03066B0C" w:tentative="1">
      <w:start w:val="1"/>
      <w:numFmt w:val="bullet"/>
      <w:lvlText w:val="–"/>
      <w:lvlJc w:val="left"/>
      <w:pPr>
        <w:tabs>
          <w:tab w:val="num" w:pos="5760"/>
        </w:tabs>
        <w:ind w:left="5760" w:hanging="360"/>
      </w:pPr>
      <w:rPr>
        <w:rFonts w:ascii="Arial" w:hAnsi="Arial" w:hint="default"/>
      </w:rPr>
    </w:lvl>
    <w:lvl w:ilvl="8" w:tplc="37D660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8244EC1"/>
    <w:multiLevelType w:val="hybridMultilevel"/>
    <w:tmpl w:val="19C05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E3BB8"/>
    <w:multiLevelType w:val="hybridMultilevel"/>
    <w:tmpl w:val="A8C62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57377F"/>
    <w:multiLevelType w:val="hybridMultilevel"/>
    <w:tmpl w:val="8B22FAA4"/>
    <w:lvl w:ilvl="0" w:tplc="0409000F">
      <w:start w:val="1"/>
      <w:numFmt w:val="decimal"/>
      <w:lvlText w:val="%1."/>
      <w:lvlJc w:val="left"/>
      <w:pPr>
        <w:ind w:left="1450" w:hanging="360"/>
      </w:pPr>
    </w:lvl>
    <w:lvl w:ilvl="1" w:tplc="04090019">
      <w:start w:val="1"/>
      <w:numFmt w:val="lowerLetter"/>
      <w:lvlText w:val="%2."/>
      <w:lvlJc w:val="left"/>
      <w:pPr>
        <w:ind w:left="2170" w:hanging="360"/>
      </w:pPr>
    </w:lvl>
    <w:lvl w:ilvl="2" w:tplc="0409001B">
      <w:start w:val="1"/>
      <w:numFmt w:val="lowerRoman"/>
      <w:lvlText w:val="%3."/>
      <w:lvlJc w:val="right"/>
      <w:pPr>
        <w:ind w:left="2890" w:hanging="180"/>
      </w:pPr>
    </w:lvl>
    <w:lvl w:ilvl="3" w:tplc="0409000F" w:tentative="1">
      <w:start w:val="1"/>
      <w:numFmt w:val="decimal"/>
      <w:lvlText w:val="%4."/>
      <w:lvlJc w:val="left"/>
      <w:pPr>
        <w:ind w:left="3610" w:hanging="360"/>
      </w:pPr>
    </w:lvl>
    <w:lvl w:ilvl="4" w:tplc="04090019" w:tentative="1">
      <w:start w:val="1"/>
      <w:numFmt w:val="lowerLetter"/>
      <w:lvlText w:val="%5."/>
      <w:lvlJc w:val="left"/>
      <w:pPr>
        <w:ind w:left="4330" w:hanging="360"/>
      </w:pPr>
    </w:lvl>
    <w:lvl w:ilvl="5" w:tplc="0409001B" w:tentative="1">
      <w:start w:val="1"/>
      <w:numFmt w:val="lowerRoman"/>
      <w:lvlText w:val="%6."/>
      <w:lvlJc w:val="right"/>
      <w:pPr>
        <w:ind w:left="5050" w:hanging="180"/>
      </w:pPr>
    </w:lvl>
    <w:lvl w:ilvl="6" w:tplc="0409000F" w:tentative="1">
      <w:start w:val="1"/>
      <w:numFmt w:val="decimal"/>
      <w:lvlText w:val="%7."/>
      <w:lvlJc w:val="left"/>
      <w:pPr>
        <w:ind w:left="5770" w:hanging="360"/>
      </w:pPr>
    </w:lvl>
    <w:lvl w:ilvl="7" w:tplc="04090019" w:tentative="1">
      <w:start w:val="1"/>
      <w:numFmt w:val="lowerLetter"/>
      <w:lvlText w:val="%8."/>
      <w:lvlJc w:val="left"/>
      <w:pPr>
        <w:ind w:left="6490" w:hanging="360"/>
      </w:pPr>
    </w:lvl>
    <w:lvl w:ilvl="8" w:tplc="0409001B" w:tentative="1">
      <w:start w:val="1"/>
      <w:numFmt w:val="lowerRoman"/>
      <w:lvlText w:val="%9."/>
      <w:lvlJc w:val="right"/>
      <w:pPr>
        <w:ind w:left="7210" w:hanging="180"/>
      </w:pPr>
    </w:lvl>
  </w:abstractNum>
  <w:abstractNum w:abstractNumId="22" w15:restartNumberingAfterBreak="0">
    <w:nsid w:val="5553159B"/>
    <w:multiLevelType w:val="hybridMultilevel"/>
    <w:tmpl w:val="02ACB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311628"/>
    <w:multiLevelType w:val="hybridMultilevel"/>
    <w:tmpl w:val="85022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9D2287"/>
    <w:multiLevelType w:val="hybridMultilevel"/>
    <w:tmpl w:val="905E1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CE7CAB"/>
    <w:multiLevelType w:val="hybridMultilevel"/>
    <w:tmpl w:val="DE1A086A"/>
    <w:lvl w:ilvl="0" w:tplc="0409000F">
      <w:start w:val="1"/>
      <w:numFmt w:val="decimal"/>
      <w:lvlText w:val="%1."/>
      <w:lvlJc w:val="left"/>
      <w:pPr>
        <w:ind w:left="1509" w:hanging="360"/>
      </w:pPr>
    </w:lvl>
    <w:lvl w:ilvl="1" w:tplc="04090001">
      <w:start w:val="1"/>
      <w:numFmt w:val="bullet"/>
      <w:lvlText w:val=""/>
      <w:lvlJc w:val="left"/>
      <w:pPr>
        <w:ind w:left="2229" w:hanging="360"/>
      </w:pPr>
      <w:rPr>
        <w:rFonts w:ascii="Symbol" w:hAnsi="Symbol" w:hint="default"/>
      </w:r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26" w15:restartNumberingAfterBreak="0">
    <w:nsid w:val="68572655"/>
    <w:multiLevelType w:val="hybridMultilevel"/>
    <w:tmpl w:val="861EAE4A"/>
    <w:lvl w:ilvl="0" w:tplc="C0203A36">
      <w:start w:val="1"/>
      <w:numFmt w:val="decimal"/>
      <w:lvlText w:val="%1."/>
      <w:lvlJc w:val="left"/>
      <w:pPr>
        <w:tabs>
          <w:tab w:val="num" w:pos="720"/>
        </w:tabs>
        <w:ind w:left="720" w:hanging="360"/>
      </w:pPr>
    </w:lvl>
    <w:lvl w:ilvl="1" w:tplc="90AC8330" w:tentative="1">
      <w:start w:val="1"/>
      <w:numFmt w:val="decimal"/>
      <w:lvlText w:val="%2."/>
      <w:lvlJc w:val="left"/>
      <w:pPr>
        <w:tabs>
          <w:tab w:val="num" w:pos="1440"/>
        </w:tabs>
        <w:ind w:left="1440" w:hanging="360"/>
      </w:pPr>
    </w:lvl>
    <w:lvl w:ilvl="2" w:tplc="6BB2E272" w:tentative="1">
      <w:start w:val="1"/>
      <w:numFmt w:val="decimal"/>
      <w:lvlText w:val="%3."/>
      <w:lvlJc w:val="left"/>
      <w:pPr>
        <w:tabs>
          <w:tab w:val="num" w:pos="2160"/>
        </w:tabs>
        <w:ind w:left="2160" w:hanging="360"/>
      </w:pPr>
    </w:lvl>
    <w:lvl w:ilvl="3" w:tplc="BD70E4E4" w:tentative="1">
      <w:start w:val="1"/>
      <w:numFmt w:val="decimal"/>
      <w:lvlText w:val="%4."/>
      <w:lvlJc w:val="left"/>
      <w:pPr>
        <w:tabs>
          <w:tab w:val="num" w:pos="2880"/>
        </w:tabs>
        <w:ind w:left="2880" w:hanging="360"/>
      </w:pPr>
    </w:lvl>
    <w:lvl w:ilvl="4" w:tplc="A8ECD4EC" w:tentative="1">
      <w:start w:val="1"/>
      <w:numFmt w:val="decimal"/>
      <w:lvlText w:val="%5."/>
      <w:lvlJc w:val="left"/>
      <w:pPr>
        <w:tabs>
          <w:tab w:val="num" w:pos="3600"/>
        </w:tabs>
        <w:ind w:left="3600" w:hanging="360"/>
      </w:pPr>
    </w:lvl>
    <w:lvl w:ilvl="5" w:tplc="D9206088" w:tentative="1">
      <w:start w:val="1"/>
      <w:numFmt w:val="decimal"/>
      <w:lvlText w:val="%6."/>
      <w:lvlJc w:val="left"/>
      <w:pPr>
        <w:tabs>
          <w:tab w:val="num" w:pos="4320"/>
        </w:tabs>
        <w:ind w:left="4320" w:hanging="360"/>
      </w:pPr>
    </w:lvl>
    <w:lvl w:ilvl="6" w:tplc="9D7AE1C2" w:tentative="1">
      <w:start w:val="1"/>
      <w:numFmt w:val="decimal"/>
      <w:lvlText w:val="%7."/>
      <w:lvlJc w:val="left"/>
      <w:pPr>
        <w:tabs>
          <w:tab w:val="num" w:pos="5040"/>
        </w:tabs>
        <w:ind w:left="5040" w:hanging="360"/>
      </w:pPr>
    </w:lvl>
    <w:lvl w:ilvl="7" w:tplc="51CA15B6" w:tentative="1">
      <w:start w:val="1"/>
      <w:numFmt w:val="decimal"/>
      <w:lvlText w:val="%8."/>
      <w:lvlJc w:val="left"/>
      <w:pPr>
        <w:tabs>
          <w:tab w:val="num" w:pos="5760"/>
        </w:tabs>
        <w:ind w:left="5760" w:hanging="360"/>
      </w:pPr>
    </w:lvl>
    <w:lvl w:ilvl="8" w:tplc="6ACEE9D4" w:tentative="1">
      <w:start w:val="1"/>
      <w:numFmt w:val="decimal"/>
      <w:lvlText w:val="%9."/>
      <w:lvlJc w:val="left"/>
      <w:pPr>
        <w:tabs>
          <w:tab w:val="num" w:pos="6480"/>
        </w:tabs>
        <w:ind w:left="6480" w:hanging="360"/>
      </w:pPr>
    </w:lvl>
  </w:abstractNum>
  <w:abstractNum w:abstractNumId="27" w15:restartNumberingAfterBreak="0">
    <w:nsid w:val="68B47F64"/>
    <w:multiLevelType w:val="hybridMultilevel"/>
    <w:tmpl w:val="FD180996"/>
    <w:lvl w:ilvl="0" w:tplc="F9CA76DE">
      <w:start w:val="1"/>
      <w:numFmt w:val="bullet"/>
      <w:lvlText w:val="•"/>
      <w:lvlJc w:val="left"/>
      <w:pPr>
        <w:tabs>
          <w:tab w:val="num" w:pos="720"/>
        </w:tabs>
        <w:ind w:left="720" w:hanging="360"/>
      </w:pPr>
      <w:rPr>
        <w:rFonts w:ascii="Arial" w:hAnsi="Arial" w:hint="default"/>
      </w:rPr>
    </w:lvl>
    <w:lvl w:ilvl="1" w:tplc="90C688EC" w:tentative="1">
      <w:start w:val="1"/>
      <w:numFmt w:val="bullet"/>
      <w:lvlText w:val="•"/>
      <w:lvlJc w:val="left"/>
      <w:pPr>
        <w:tabs>
          <w:tab w:val="num" w:pos="1440"/>
        </w:tabs>
        <w:ind w:left="1440" w:hanging="360"/>
      </w:pPr>
      <w:rPr>
        <w:rFonts w:ascii="Arial" w:hAnsi="Arial" w:hint="default"/>
      </w:rPr>
    </w:lvl>
    <w:lvl w:ilvl="2" w:tplc="4C10579C" w:tentative="1">
      <w:start w:val="1"/>
      <w:numFmt w:val="bullet"/>
      <w:lvlText w:val="•"/>
      <w:lvlJc w:val="left"/>
      <w:pPr>
        <w:tabs>
          <w:tab w:val="num" w:pos="2160"/>
        </w:tabs>
        <w:ind w:left="2160" w:hanging="360"/>
      </w:pPr>
      <w:rPr>
        <w:rFonts w:ascii="Arial" w:hAnsi="Arial" w:hint="default"/>
      </w:rPr>
    </w:lvl>
    <w:lvl w:ilvl="3" w:tplc="771E1B56" w:tentative="1">
      <w:start w:val="1"/>
      <w:numFmt w:val="bullet"/>
      <w:lvlText w:val="•"/>
      <w:lvlJc w:val="left"/>
      <w:pPr>
        <w:tabs>
          <w:tab w:val="num" w:pos="2880"/>
        </w:tabs>
        <w:ind w:left="2880" w:hanging="360"/>
      </w:pPr>
      <w:rPr>
        <w:rFonts w:ascii="Arial" w:hAnsi="Arial" w:hint="default"/>
      </w:rPr>
    </w:lvl>
    <w:lvl w:ilvl="4" w:tplc="1E506056" w:tentative="1">
      <w:start w:val="1"/>
      <w:numFmt w:val="bullet"/>
      <w:lvlText w:val="•"/>
      <w:lvlJc w:val="left"/>
      <w:pPr>
        <w:tabs>
          <w:tab w:val="num" w:pos="3600"/>
        </w:tabs>
        <w:ind w:left="3600" w:hanging="360"/>
      </w:pPr>
      <w:rPr>
        <w:rFonts w:ascii="Arial" w:hAnsi="Arial" w:hint="default"/>
      </w:rPr>
    </w:lvl>
    <w:lvl w:ilvl="5" w:tplc="26500D5A" w:tentative="1">
      <w:start w:val="1"/>
      <w:numFmt w:val="bullet"/>
      <w:lvlText w:val="•"/>
      <w:lvlJc w:val="left"/>
      <w:pPr>
        <w:tabs>
          <w:tab w:val="num" w:pos="4320"/>
        </w:tabs>
        <w:ind w:left="4320" w:hanging="360"/>
      </w:pPr>
      <w:rPr>
        <w:rFonts w:ascii="Arial" w:hAnsi="Arial" w:hint="default"/>
      </w:rPr>
    </w:lvl>
    <w:lvl w:ilvl="6" w:tplc="B93E2452" w:tentative="1">
      <w:start w:val="1"/>
      <w:numFmt w:val="bullet"/>
      <w:lvlText w:val="•"/>
      <w:lvlJc w:val="left"/>
      <w:pPr>
        <w:tabs>
          <w:tab w:val="num" w:pos="5040"/>
        </w:tabs>
        <w:ind w:left="5040" w:hanging="360"/>
      </w:pPr>
      <w:rPr>
        <w:rFonts w:ascii="Arial" w:hAnsi="Arial" w:hint="default"/>
      </w:rPr>
    </w:lvl>
    <w:lvl w:ilvl="7" w:tplc="C0783378" w:tentative="1">
      <w:start w:val="1"/>
      <w:numFmt w:val="bullet"/>
      <w:lvlText w:val="•"/>
      <w:lvlJc w:val="left"/>
      <w:pPr>
        <w:tabs>
          <w:tab w:val="num" w:pos="5760"/>
        </w:tabs>
        <w:ind w:left="5760" w:hanging="360"/>
      </w:pPr>
      <w:rPr>
        <w:rFonts w:ascii="Arial" w:hAnsi="Arial" w:hint="default"/>
      </w:rPr>
    </w:lvl>
    <w:lvl w:ilvl="8" w:tplc="E706572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0A4C86"/>
    <w:multiLevelType w:val="hybridMultilevel"/>
    <w:tmpl w:val="CA7A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82DC5"/>
    <w:multiLevelType w:val="hybridMultilevel"/>
    <w:tmpl w:val="2298A100"/>
    <w:lvl w:ilvl="0" w:tplc="10D4F2D2">
      <w:start w:val="1"/>
      <w:numFmt w:val="bullet"/>
      <w:lvlText w:val="–"/>
      <w:lvlJc w:val="left"/>
      <w:pPr>
        <w:tabs>
          <w:tab w:val="num" w:pos="720"/>
        </w:tabs>
        <w:ind w:left="720" w:hanging="360"/>
      </w:pPr>
      <w:rPr>
        <w:rFonts w:ascii="Arial" w:hAnsi="Arial" w:hint="default"/>
      </w:rPr>
    </w:lvl>
    <w:lvl w:ilvl="1" w:tplc="E190DA88">
      <w:start w:val="1"/>
      <w:numFmt w:val="bullet"/>
      <w:lvlText w:val="–"/>
      <w:lvlJc w:val="left"/>
      <w:pPr>
        <w:tabs>
          <w:tab w:val="num" w:pos="1440"/>
        </w:tabs>
        <w:ind w:left="1440" w:hanging="360"/>
      </w:pPr>
      <w:rPr>
        <w:rFonts w:ascii="Arial" w:hAnsi="Arial" w:hint="default"/>
      </w:rPr>
    </w:lvl>
    <w:lvl w:ilvl="2" w:tplc="5538BD1E" w:tentative="1">
      <w:start w:val="1"/>
      <w:numFmt w:val="bullet"/>
      <w:lvlText w:val="–"/>
      <w:lvlJc w:val="left"/>
      <w:pPr>
        <w:tabs>
          <w:tab w:val="num" w:pos="2160"/>
        </w:tabs>
        <w:ind w:left="2160" w:hanging="360"/>
      </w:pPr>
      <w:rPr>
        <w:rFonts w:ascii="Arial" w:hAnsi="Arial" w:hint="default"/>
      </w:rPr>
    </w:lvl>
    <w:lvl w:ilvl="3" w:tplc="A3EC4386" w:tentative="1">
      <w:start w:val="1"/>
      <w:numFmt w:val="bullet"/>
      <w:lvlText w:val="–"/>
      <w:lvlJc w:val="left"/>
      <w:pPr>
        <w:tabs>
          <w:tab w:val="num" w:pos="2880"/>
        </w:tabs>
        <w:ind w:left="2880" w:hanging="360"/>
      </w:pPr>
      <w:rPr>
        <w:rFonts w:ascii="Arial" w:hAnsi="Arial" w:hint="default"/>
      </w:rPr>
    </w:lvl>
    <w:lvl w:ilvl="4" w:tplc="F74CC8D0" w:tentative="1">
      <w:start w:val="1"/>
      <w:numFmt w:val="bullet"/>
      <w:lvlText w:val="–"/>
      <w:lvlJc w:val="left"/>
      <w:pPr>
        <w:tabs>
          <w:tab w:val="num" w:pos="3600"/>
        </w:tabs>
        <w:ind w:left="3600" w:hanging="360"/>
      </w:pPr>
      <w:rPr>
        <w:rFonts w:ascii="Arial" w:hAnsi="Arial" w:hint="default"/>
      </w:rPr>
    </w:lvl>
    <w:lvl w:ilvl="5" w:tplc="4D46EBE0" w:tentative="1">
      <w:start w:val="1"/>
      <w:numFmt w:val="bullet"/>
      <w:lvlText w:val="–"/>
      <w:lvlJc w:val="left"/>
      <w:pPr>
        <w:tabs>
          <w:tab w:val="num" w:pos="4320"/>
        </w:tabs>
        <w:ind w:left="4320" w:hanging="360"/>
      </w:pPr>
      <w:rPr>
        <w:rFonts w:ascii="Arial" w:hAnsi="Arial" w:hint="default"/>
      </w:rPr>
    </w:lvl>
    <w:lvl w:ilvl="6" w:tplc="A6EC4012" w:tentative="1">
      <w:start w:val="1"/>
      <w:numFmt w:val="bullet"/>
      <w:lvlText w:val="–"/>
      <w:lvlJc w:val="left"/>
      <w:pPr>
        <w:tabs>
          <w:tab w:val="num" w:pos="5040"/>
        </w:tabs>
        <w:ind w:left="5040" w:hanging="360"/>
      </w:pPr>
      <w:rPr>
        <w:rFonts w:ascii="Arial" w:hAnsi="Arial" w:hint="default"/>
      </w:rPr>
    </w:lvl>
    <w:lvl w:ilvl="7" w:tplc="47A85164" w:tentative="1">
      <w:start w:val="1"/>
      <w:numFmt w:val="bullet"/>
      <w:lvlText w:val="–"/>
      <w:lvlJc w:val="left"/>
      <w:pPr>
        <w:tabs>
          <w:tab w:val="num" w:pos="5760"/>
        </w:tabs>
        <w:ind w:left="5760" w:hanging="360"/>
      </w:pPr>
      <w:rPr>
        <w:rFonts w:ascii="Arial" w:hAnsi="Arial" w:hint="default"/>
      </w:rPr>
    </w:lvl>
    <w:lvl w:ilvl="8" w:tplc="D8721CC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798453B"/>
    <w:multiLevelType w:val="hybridMultilevel"/>
    <w:tmpl w:val="4E103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23"/>
  </w:num>
  <w:num w:numId="4">
    <w:abstractNumId w:val="24"/>
  </w:num>
  <w:num w:numId="5">
    <w:abstractNumId w:val="6"/>
  </w:num>
  <w:num w:numId="6">
    <w:abstractNumId w:val="8"/>
  </w:num>
  <w:num w:numId="7">
    <w:abstractNumId w:val="17"/>
  </w:num>
  <w:num w:numId="8">
    <w:abstractNumId w:val="26"/>
  </w:num>
  <w:num w:numId="9">
    <w:abstractNumId w:val="21"/>
  </w:num>
  <w:num w:numId="10">
    <w:abstractNumId w:val="16"/>
  </w:num>
  <w:num w:numId="11">
    <w:abstractNumId w:val="5"/>
  </w:num>
  <w:num w:numId="12">
    <w:abstractNumId w:val="2"/>
  </w:num>
  <w:num w:numId="13">
    <w:abstractNumId w:val="25"/>
  </w:num>
  <w:num w:numId="14">
    <w:abstractNumId w:val="0"/>
  </w:num>
  <w:num w:numId="15">
    <w:abstractNumId w:val="20"/>
  </w:num>
  <w:num w:numId="16">
    <w:abstractNumId w:val="15"/>
  </w:num>
  <w:num w:numId="17">
    <w:abstractNumId w:val="28"/>
  </w:num>
  <w:num w:numId="18">
    <w:abstractNumId w:val="27"/>
  </w:num>
  <w:num w:numId="19">
    <w:abstractNumId w:val="29"/>
  </w:num>
  <w:num w:numId="20">
    <w:abstractNumId w:val="18"/>
  </w:num>
  <w:num w:numId="21">
    <w:abstractNumId w:val="7"/>
  </w:num>
  <w:num w:numId="22">
    <w:abstractNumId w:val="22"/>
  </w:num>
  <w:num w:numId="23">
    <w:abstractNumId w:val="4"/>
  </w:num>
  <w:num w:numId="24">
    <w:abstractNumId w:val="10"/>
  </w:num>
  <w:num w:numId="25">
    <w:abstractNumId w:val="3"/>
  </w:num>
  <w:num w:numId="26">
    <w:abstractNumId w:val="30"/>
  </w:num>
  <w:num w:numId="27">
    <w:abstractNumId w:val="11"/>
  </w:num>
  <w:num w:numId="28">
    <w:abstractNumId w:val="1"/>
  </w:num>
  <w:num w:numId="29">
    <w:abstractNumId w:val="19"/>
  </w:num>
  <w:num w:numId="30">
    <w:abstractNumId w:val="13"/>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900"/>
    <w:rsid w:val="000045AC"/>
    <w:rsid w:val="0001780D"/>
    <w:rsid w:val="00032769"/>
    <w:rsid w:val="0006496C"/>
    <w:rsid w:val="000F5C86"/>
    <w:rsid w:val="00113F03"/>
    <w:rsid w:val="001223C4"/>
    <w:rsid w:val="00146207"/>
    <w:rsid w:val="001B4DCA"/>
    <w:rsid w:val="001D6347"/>
    <w:rsid w:val="00211EE7"/>
    <w:rsid w:val="00255CB4"/>
    <w:rsid w:val="002B269A"/>
    <w:rsid w:val="00303AAD"/>
    <w:rsid w:val="00322A4C"/>
    <w:rsid w:val="00325BF3"/>
    <w:rsid w:val="00355138"/>
    <w:rsid w:val="00356900"/>
    <w:rsid w:val="003A6A21"/>
    <w:rsid w:val="003C42AD"/>
    <w:rsid w:val="00426318"/>
    <w:rsid w:val="00437606"/>
    <w:rsid w:val="00484D13"/>
    <w:rsid w:val="004969B1"/>
    <w:rsid w:val="004D2140"/>
    <w:rsid w:val="004E42D6"/>
    <w:rsid w:val="004E6119"/>
    <w:rsid w:val="005C18B9"/>
    <w:rsid w:val="005D545B"/>
    <w:rsid w:val="005F5973"/>
    <w:rsid w:val="006145EA"/>
    <w:rsid w:val="006260DB"/>
    <w:rsid w:val="006478A3"/>
    <w:rsid w:val="00656FCC"/>
    <w:rsid w:val="00670589"/>
    <w:rsid w:val="0069305B"/>
    <w:rsid w:val="006A215D"/>
    <w:rsid w:val="00717A61"/>
    <w:rsid w:val="007464C3"/>
    <w:rsid w:val="00786B84"/>
    <w:rsid w:val="007D4305"/>
    <w:rsid w:val="00833679"/>
    <w:rsid w:val="00837082"/>
    <w:rsid w:val="00860A4D"/>
    <w:rsid w:val="008811C1"/>
    <w:rsid w:val="008F6F2E"/>
    <w:rsid w:val="009033FE"/>
    <w:rsid w:val="00905A5F"/>
    <w:rsid w:val="009355F1"/>
    <w:rsid w:val="009454C4"/>
    <w:rsid w:val="00951A4E"/>
    <w:rsid w:val="00951FC0"/>
    <w:rsid w:val="00977C29"/>
    <w:rsid w:val="009A4D2F"/>
    <w:rsid w:val="009B6FA9"/>
    <w:rsid w:val="009C1598"/>
    <w:rsid w:val="00A1540B"/>
    <w:rsid w:val="00AB083F"/>
    <w:rsid w:val="00B25FB9"/>
    <w:rsid w:val="00B46501"/>
    <w:rsid w:val="00B7120A"/>
    <w:rsid w:val="00B96434"/>
    <w:rsid w:val="00BA10AE"/>
    <w:rsid w:val="00BC175C"/>
    <w:rsid w:val="00BE20CD"/>
    <w:rsid w:val="00C00BFD"/>
    <w:rsid w:val="00C27595"/>
    <w:rsid w:val="00C64F9F"/>
    <w:rsid w:val="00D0395C"/>
    <w:rsid w:val="00D4135C"/>
    <w:rsid w:val="00D43607"/>
    <w:rsid w:val="00D56284"/>
    <w:rsid w:val="00D92C4A"/>
    <w:rsid w:val="00D95B91"/>
    <w:rsid w:val="00E43E0D"/>
    <w:rsid w:val="00E543BD"/>
    <w:rsid w:val="00E56BA7"/>
    <w:rsid w:val="00E74D90"/>
    <w:rsid w:val="00E82566"/>
    <w:rsid w:val="00E910DA"/>
    <w:rsid w:val="00EC2CD0"/>
    <w:rsid w:val="00F2258A"/>
    <w:rsid w:val="00F63A1D"/>
    <w:rsid w:val="00F661DF"/>
    <w:rsid w:val="00F86FAC"/>
    <w:rsid w:val="00FD71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4488B7"/>
  <w14:defaultImageDpi w14:val="300"/>
  <w15:docId w15:val="{6752227C-A142-7546-B1D0-F2FA20ED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uiPriority w:val="99"/>
    <w:unhideWhenUsed/>
    <w:rsid w:val="009033FE"/>
  </w:style>
  <w:style w:type="paragraph" w:styleId="TOAHeading">
    <w:name w:val="toa heading"/>
    <w:aliases w:val="List of Contributors"/>
    <w:basedOn w:val="Normal"/>
    <w:next w:val="Normal"/>
    <w:uiPriority w:val="99"/>
    <w:semiHidden/>
    <w:unhideWhenUsed/>
    <w:qFormat/>
    <w:rsid w:val="001B4DCA"/>
    <w:pPr>
      <w:spacing w:before="120"/>
      <w:jc w:val="center"/>
    </w:pPr>
    <w:rPr>
      <w:rFonts w:ascii="Arial" w:eastAsiaTheme="majorEastAsia" w:hAnsi="Arial" w:cstheme="majorBidi"/>
      <w:b/>
      <w:bCs/>
      <w:color w:val="0000FF"/>
    </w:rPr>
  </w:style>
  <w:style w:type="paragraph" w:styleId="Title">
    <w:name w:val="Title"/>
    <w:next w:val="Body"/>
    <w:link w:val="TitleChar"/>
    <w:uiPriority w:val="10"/>
    <w:qFormat/>
    <w:rsid w:val="00356900"/>
    <w:pPr>
      <w:keepNext/>
      <w:pBdr>
        <w:top w:val="nil"/>
        <w:left w:val="nil"/>
        <w:bottom w:val="nil"/>
        <w:right w:val="nil"/>
        <w:between w:val="nil"/>
        <w:bar w:val="nil"/>
      </w:pBdr>
      <w:spacing w:before="240" w:after="300"/>
    </w:pPr>
    <w:rPr>
      <w:rFonts w:ascii="Cambria" w:eastAsia="Arial Unicode MS" w:hAnsi="Cambria" w:cs="Arial Unicode MS"/>
      <w:color w:val="17365D"/>
      <w:spacing w:val="5"/>
      <w:kern w:val="28"/>
      <w:sz w:val="36"/>
      <w:szCs w:val="36"/>
      <w:u w:color="17365D"/>
      <w:bdr w:val="nil"/>
    </w:rPr>
  </w:style>
  <w:style w:type="character" w:customStyle="1" w:styleId="TitleChar">
    <w:name w:val="Title Char"/>
    <w:basedOn w:val="DefaultParagraphFont"/>
    <w:link w:val="Title"/>
    <w:uiPriority w:val="10"/>
    <w:rsid w:val="00356900"/>
    <w:rPr>
      <w:rFonts w:ascii="Cambria" w:eastAsia="Arial Unicode MS" w:hAnsi="Cambria" w:cs="Arial Unicode MS"/>
      <w:color w:val="17365D"/>
      <w:spacing w:val="5"/>
      <w:kern w:val="28"/>
      <w:sz w:val="36"/>
      <w:szCs w:val="36"/>
      <w:u w:color="17365D"/>
      <w:bdr w:val="nil"/>
    </w:rPr>
  </w:style>
  <w:style w:type="paragraph" w:customStyle="1" w:styleId="Body">
    <w:name w:val="Body"/>
    <w:rsid w:val="00356900"/>
    <w:pPr>
      <w:pBdr>
        <w:top w:val="nil"/>
        <w:left w:val="nil"/>
        <w:bottom w:val="nil"/>
        <w:right w:val="nil"/>
        <w:between w:val="nil"/>
        <w:bar w:val="nil"/>
      </w:pBdr>
    </w:pPr>
    <w:rPr>
      <w:rFonts w:ascii="Cambria" w:eastAsia="Arial Unicode MS" w:hAnsi="Cambria" w:cs="Arial Unicode MS"/>
      <w:color w:val="000000"/>
      <w:u w:color="000000"/>
      <w:bdr w:val="nil"/>
    </w:rPr>
  </w:style>
  <w:style w:type="paragraph" w:styleId="BalloonText">
    <w:name w:val="Balloon Text"/>
    <w:basedOn w:val="Normal"/>
    <w:link w:val="BalloonTextChar"/>
    <w:uiPriority w:val="99"/>
    <w:semiHidden/>
    <w:unhideWhenUsed/>
    <w:rsid w:val="003569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56900"/>
    <w:rPr>
      <w:rFonts w:ascii="Lucida Grande" w:hAnsi="Lucida Grande" w:cs="Lucida Grande"/>
      <w:sz w:val="18"/>
      <w:szCs w:val="18"/>
    </w:rPr>
  </w:style>
  <w:style w:type="paragraph" w:styleId="Header">
    <w:name w:val="header"/>
    <w:basedOn w:val="Normal"/>
    <w:link w:val="HeaderChar"/>
    <w:uiPriority w:val="99"/>
    <w:unhideWhenUsed/>
    <w:rsid w:val="00356900"/>
    <w:pPr>
      <w:tabs>
        <w:tab w:val="center" w:pos="4320"/>
        <w:tab w:val="right" w:pos="8640"/>
      </w:tabs>
    </w:pPr>
  </w:style>
  <w:style w:type="character" w:customStyle="1" w:styleId="HeaderChar">
    <w:name w:val="Header Char"/>
    <w:basedOn w:val="DefaultParagraphFont"/>
    <w:link w:val="Header"/>
    <w:uiPriority w:val="99"/>
    <w:rsid w:val="00356900"/>
  </w:style>
  <w:style w:type="paragraph" w:styleId="Footer">
    <w:name w:val="footer"/>
    <w:basedOn w:val="Normal"/>
    <w:link w:val="FooterChar"/>
    <w:uiPriority w:val="99"/>
    <w:unhideWhenUsed/>
    <w:rsid w:val="00356900"/>
    <w:pPr>
      <w:tabs>
        <w:tab w:val="center" w:pos="4320"/>
        <w:tab w:val="right" w:pos="8640"/>
      </w:tabs>
    </w:pPr>
  </w:style>
  <w:style w:type="character" w:customStyle="1" w:styleId="FooterChar">
    <w:name w:val="Footer Char"/>
    <w:basedOn w:val="DefaultParagraphFont"/>
    <w:link w:val="Footer"/>
    <w:uiPriority w:val="99"/>
    <w:rsid w:val="00356900"/>
  </w:style>
  <w:style w:type="character" w:styleId="Hyperlink">
    <w:name w:val="Hyperlink"/>
    <w:basedOn w:val="DefaultParagraphFont"/>
    <w:uiPriority w:val="99"/>
    <w:unhideWhenUsed/>
    <w:rsid w:val="006478A3"/>
    <w:rPr>
      <w:color w:val="0000FF" w:themeColor="hyperlink"/>
      <w:u w:val="single"/>
    </w:rPr>
  </w:style>
  <w:style w:type="character" w:styleId="FootnoteReference">
    <w:name w:val="footnote reference"/>
    <w:basedOn w:val="DefaultParagraphFont"/>
    <w:uiPriority w:val="99"/>
    <w:unhideWhenUsed/>
    <w:rsid w:val="0006496C"/>
    <w:rPr>
      <w:vertAlign w:val="superscript"/>
    </w:rPr>
  </w:style>
  <w:style w:type="paragraph" w:styleId="ListParagraph">
    <w:name w:val="List Paragraph"/>
    <w:link w:val="ListParagraphChar"/>
    <w:uiPriority w:val="34"/>
    <w:qFormat/>
    <w:rsid w:val="00951A4E"/>
    <w:pPr>
      <w:pBdr>
        <w:top w:val="nil"/>
        <w:left w:val="nil"/>
        <w:bottom w:val="nil"/>
        <w:right w:val="nil"/>
        <w:between w:val="nil"/>
        <w:bar w:val="nil"/>
      </w:pBdr>
      <w:ind w:left="720"/>
    </w:pPr>
    <w:rPr>
      <w:rFonts w:ascii="Times New Roman" w:eastAsia="Arial Unicode MS" w:hAnsi="Times New Roman" w:cs="Arial Unicode MS"/>
      <w:color w:val="000000"/>
      <w:u w:color="000000"/>
      <w:bdr w:val="nil"/>
    </w:rPr>
  </w:style>
  <w:style w:type="character" w:customStyle="1" w:styleId="ListParagraphChar">
    <w:name w:val="List Paragraph Char"/>
    <w:basedOn w:val="DefaultParagraphFont"/>
    <w:link w:val="ListParagraph"/>
    <w:uiPriority w:val="34"/>
    <w:rsid w:val="00951A4E"/>
    <w:rPr>
      <w:rFonts w:ascii="Times New Roman" w:eastAsia="Arial Unicode MS" w:hAnsi="Times New Roman" w:cs="Arial Unicode MS"/>
      <w:color w:val="000000"/>
      <w:u w:color="000000"/>
      <w:bdr w:val="nil"/>
    </w:rPr>
  </w:style>
  <w:style w:type="paragraph" w:styleId="NormalWeb">
    <w:name w:val="Normal (Web)"/>
    <w:basedOn w:val="Normal"/>
    <w:uiPriority w:val="99"/>
    <w:semiHidden/>
    <w:unhideWhenUsed/>
    <w:rsid w:val="00F86FAC"/>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1D6347"/>
    <w:rPr>
      <w:i/>
      <w:iCs/>
    </w:rPr>
  </w:style>
  <w:style w:type="paragraph" w:styleId="FootnoteText">
    <w:name w:val="footnote text"/>
    <w:basedOn w:val="Normal"/>
    <w:link w:val="FootnoteTextChar"/>
    <w:uiPriority w:val="99"/>
    <w:semiHidden/>
    <w:unhideWhenUsed/>
    <w:rsid w:val="00F661DF"/>
    <w:rPr>
      <w:sz w:val="20"/>
      <w:szCs w:val="20"/>
    </w:rPr>
  </w:style>
  <w:style w:type="character" w:customStyle="1" w:styleId="FootnoteTextChar">
    <w:name w:val="Footnote Text Char"/>
    <w:basedOn w:val="DefaultParagraphFont"/>
    <w:link w:val="FootnoteText"/>
    <w:uiPriority w:val="99"/>
    <w:semiHidden/>
    <w:rsid w:val="00F661DF"/>
    <w:rPr>
      <w:sz w:val="20"/>
      <w:szCs w:val="20"/>
    </w:rPr>
  </w:style>
  <w:style w:type="character" w:customStyle="1" w:styleId="ColorfulList-Accent1Char">
    <w:name w:val="Colorful List - Accent 1 Char"/>
    <w:basedOn w:val="DefaultParagraphFont"/>
    <w:link w:val="ColorfulList-Accent1"/>
    <w:uiPriority w:val="34"/>
    <w:rsid w:val="00B7120A"/>
  </w:style>
  <w:style w:type="table" w:styleId="ColorfulList-Accent1">
    <w:name w:val="Colorful List Accent 1"/>
    <w:basedOn w:val="TableNormal"/>
    <w:link w:val="ColorfulList-Accent1Char"/>
    <w:uiPriority w:val="34"/>
    <w:semiHidden/>
    <w:unhideWhenUsed/>
    <w:rsid w:val="00B7120A"/>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TableGrid">
    <w:name w:val="Table Grid"/>
    <w:basedOn w:val="TableNormal"/>
    <w:uiPriority w:val="59"/>
    <w:rsid w:val="00E43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786463">
      <w:bodyDiv w:val="1"/>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
      </w:divsChild>
    </w:div>
    <w:div w:id="809515824">
      <w:bodyDiv w:val="1"/>
      <w:marLeft w:val="0"/>
      <w:marRight w:val="0"/>
      <w:marTop w:val="0"/>
      <w:marBottom w:val="0"/>
      <w:divBdr>
        <w:top w:val="none" w:sz="0" w:space="0" w:color="auto"/>
        <w:left w:val="none" w:sz="0" w:space="0" w:color="auto"/>
        <w:bottom w:val="none" w:sz="0" w:space="0" w:color="auto"/>
        <w:right w:val="none" w:sz="0" w:space="0" w:color="auto"/>
      </w:divBdr>
      <w:divsChild>
        <w:div w:id="225073907">
          <w:marLeft w:val="0"/>
          <w:marRight w:val="0"/>
          <w:marTop w:val="0"/>
          <w:marBottom w:val="0"/>
          <w:divBdr>
            <w:top w:val="none" w:sz="0" w:space="0" w:color="auto"/>
            <w:left w:val="none" w:sz="0" w:space="0" w:color="auto"/>
            <w:bottom w:val="none" w:sz="0" w:space="0" w:color="auto"/>
            <w:right w:val="none" w:sz="0" w:space="0" w:color="auto"/>
          </w:divBdr>
          <w:divsChild>
            <w:div w:id="745734945">
              <w:marLeft w:val="0"/>
              <w:marRight w:val="0"/>
              <w:marTop w:val="0"/>
              <w:marBottom w:val="0"/>
              <w:divBdr>
                <w:top w:val="none" w:sz="0" w:space="0" w:color="auto"/>
                <w:left w:val="none" w:sz="0" w:space="0" w:color="auto"/>
                <w:bottom w:val="none" w:sz="0" w:space="0" w:color="auto"/>
                <w:right w:val="none" w:sz="0" w:space="0" w:color="auto"/>
              </w:divBdr>
              <w:divsChild>
                <w:div w:id="16678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48811">
      <w:bodyDiv w:val="1"/>
      <w:marLeft w:val="0"/>
      <w:marRight w:val="0"/>
      <w:marTop w:val="0"/>
      <w:marBottom w:val="0"/>
      <w:divBdr>
        <w:top w:val="none" w:sz="0" w:space="0" w:color="auto"/>
        <w:left w:val="none" w:sz="0" w:space="0" w:color="auto"/>
        <w:bottom w:val="none" w:sz="0" w:space="0" w:color="auto"/>
        <w:right w:val="none" w:sz="0" w:space="0" w:color="auto"/>
      </w:divBdr>
    </w:div>
    <w:div w:id="1144733171">
      <w:bodyDiv w:val="1"/>
      <w:marLeft w:val="0"/>
      <w:marRight w:val="0"/>
      <w:marTop w:val="0"/>
      <w:marBottom w:val="0"/>
      <w:divBdr>
        <w:top w:val="none" w:sz="0" w:space="0" w:color="auto"/>
        <w:left w:val="none" w:sz="0" w:space="0" w:color="auto"/>
        <w:bottom w:val="none" w:sz="0" w:space="0" w:color="auto"/>
        <w:right w:val="none" w:sz="0" w:space="0" w:color="auto"/>
      </w:divBdr>
      <w:divsChild>
        <w:div w:id="1593779194">
          <w:marLeft w:val="605"/>
          <w:marRight w:val="0"/>
          <w:marTop w:val="86"/>
          <w:marBottom w:val="0"/>
          <w:divBdr>
            <w:top w:val="none" w:sz="0" w:space="0" w:color="auto"/>
            <w:left w:val="none" w:sz="0" w:space="0" w:color="auto"/>
            <w:bottom w:val="none" w:sz="0" w:space="0" w:color="auto"/>
            <w:right w:val="none" w:sz="0" w:space="0" w:color="auto"/>
          </w:divBdr>
        </w:div>
      </w:divsChild>
    </w:div>
    <w:div w:id="1522039699">
      <w:bodyDiv w:val="1"/>
      <w:marLeft w:val="0"/>
      <w:marRight w:val="0"/>
      <w:marTop w:val="0"/>
      <w:marBottom w:val="0"/>
      <w:divBdr>
        <w:top w:val="none" w:sz="0" w:space="0" w:color="auto"/>
        <w:left w:val="none" w:sz="0" w:space="0" w:color="auto"/>
        <w:bottom w:val="none" w:sz="0" w:space="0" w:color="auto"/>
        <w:right w:val="none" w:sz="0" w:space="0" w:color="auto"/>
      </w:divBdr>
    </w:div>
    <w:div w:id="1546404361">
      <w:bodyDiv w:val="1"/>
      <w:marLeft w:val="0"/>
      <w:marRight w:val="0"/>
      <w:marTop w:val="0"/>
      <w:marBottom w:val="0"/>
      <w:divBdr>
        <w:top w:val="none" w:sz="0" w:space="0" w:color="auto"/>
        <w:left w:val="none" w:sz="0" w:space="0" w:color="auto"/>
        <w:bottom w:val="none" w:sz="0" w:space="0" w:color="auto"/>
        <w:right w:val="none" w:sz="0" w:space="0" w:color="auto"/>
      </w:divBdr>
      <w:divsChild>
        <w:div w:id="245847064">
          <w:marLeft w:val="1296"/>
          <w:marRight w:val="0"/>
          <w:marTop w:val="86"/>
          <w:marBottom w:val="0"/>
          <w:divBdr>
            <w:top w:val="none" w:sz="0" w:space="0" w:color="auto"/>
            <w:left w:val="none" w:sz="0" w:space="0" w:color="auto"/>
            <w:bottom w:val="none" w:sz="0" w:space="0" w:color="auto"/>
            <w:right w:val="none" w:sz="0" w:space="0" w:color="auto"/>
          </w:divBdr>
        </w:div>
        <w:div w:id="1258950050">
          <w:marLeft w:val="1296"/>
          <w:marRight w:val="0"/>
          <w:marTop w:val="86"/>
          <w:marBottom w:val="0"/>
          <w:divBdr>
            <w:top w:val="none" w:sz="0" w:space="0" w:color="auto"/>
            <w:left w:val="none" w:sz="0" w:space="0" w:color="auto"/>
            <w:bottom w:val="none" w:sz="0" w:space="0" w:color="auto"/>
            <w:right w:val="none" w:sz="0" w:space="0" w:color="auto"/>
          </w:divBdr>
        </w:div>
        <w:div w:id="317223633">
          <w:marLeft w:val="1296"/>
          <w:marRight w:val="0"/>
          <w:marTop w:val="86"/>
          <w:marBottom w:val="0"/>
          <w:divBdr>
            <w:top w:val="none" w:sz="0" w:space="0" w:color="auto"/>
            <w:left w:val="none" w:sz="0" w:space="0" w:color="auto"/>
            <w:bottom w:val="none" w:sz="0" w:space="0" w:color="auto"/>
            <w:right w:val="none" w:sz="0" w:space="0" w:color="auto"/>
          </w:divBdr>
        </w:div>
      </w:divsChild>
    </w:div>
    <w:div w:id="1590887702">
      <w:bodyDiv w:val="1"/>
      <w:marLeft w:val="0"/>
      <w:marRight w:val="0"/>
      <w:marTop w:val="0"/>
      <w:marBottom w:val="0"/>
      <w:divBdr>
        <w:top w:val="none" w:sz="0" w:space="0" w:color="auto"/>
        <w:left w:val="none" w:sz="0" w:space="0" w:color="auto"/>
        <w:bottom w:val="none" w:sz="0" w:space="0" w:color="auto"/>
        <w:right w:val="none" w:sz="0" w:space="0" w:color="auto"/>
      </w:divBdr>
      <w:divsChild>
        <w:div w:id="263273909">
          <w:marLeft w:val="0"/>
          <w:marRight w:val="0"/>
          <w:marTop w:val="0"/>
          <w:marBottom w:val="0"/>
          <w:divBdr>
            <w:top w:val="none" w:sz="0" w:space="0" w:color="auto"/>
            <w:left w:val="none" w:sz="0" w:space="0" w:color="auto"/>
            <w:bottom w:val="none" w:sz="0" w:space="0" w:color="auto"/>
            <w:right w:val="none" w:sz="0" w:space="0" w:color="auto"/>
          </w:divBdr>
          <w:divsChild>
            <w:div w:id="1207256993">
              <w:marLeft w:val="0"/>
              <w:marRight w:val="0"/>
              <w:marTop w:val="0"/>
              <w:marBottom w:val="0"/>
              <w:divBdr>
                <w:top w:val="none" w:sz="0" w:space="0" w:color="auto"/>
                <w:left w:val="none" w:sz="0" w:space="0" w:color="auto"/>
                <w:bottom w:val="none" w:sz="0" w:space="0" w:color="auto"/>
                <w:right w:val="none" w:sz="0" w:space="0" w:color="auto"/>
              </w:divBdr>
              <w:divsChild>
                <w:div w:id="135418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40814">
      <w:bodyDiv w:val="1"/>
      <w:marLeft w:val="0"/>
      <w:marRight w:val="0"/>
      <w:marTop w:val="0"/>
      <w:marBottom w:val="0"/>
      <w:divBdr>
        <w:top w:val="none" w:sz="0" w:space="0" w:color="auto"/>
        <w:left w:val="none" w:sz="0" w:space="0" w:color="auto"/>
        <w:bottom w:val="none" w:sz="0" w:space="0" w:color="auto"/>
        <w:right w:val="none" w:sz="0" w:space="0" w:color="auto"/>
      </w:divBdr>
      <w:divsChild>
        <w:div w:id="278076431">
          <w:marLeft w:val="0"/>
          <w:marRight w:val="0"/>
          <w:marTop w:val="0"/>
          <w:marBottom w:val="0"/>
          <w:divBdr>
            <w:top w:val="none" w:sz="0" w:space="0" w:color="auto"/>
            <w:left w:val="none" w:sz="0" w:space="0" w:color="auto"/>
            <w:bottom w:val="none" w:sz="0" w:space="0" w:color="auto"/>
            <w:right w:val="none" w:sz="0" w:space="0" w:color="auto"/>
          </w:divBdr>
          <w:divsChild>
            <w:div w:id="1764185862">
              <w:marLeft w:val="0"/>
              <w:marRight w:val="0"/>
              <w:marTop w:val="0"/>
              <w:marBottom w:val="0"/>
              <w:divBdr>
                <w:top w:val="none" w:sz="0" w:space="0" w:color="auto"/>
                <w:left w:val="none" w:sz="0" w:space="0" w:color="auto"/>
                <w:bottom w:val="none" w:sz="0" w:space="0" w:color="auto"/>
                <w:right w:val="none" w:sz="0" w:space="0" w:color="auto"/>
              </w:divBdr>
              <w:divsChild>
                <w:div w:id="11122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108">
      <w:bodyDiv w:val="1"/>
      <w:marLeft w:val="0"/>
      <w:marRight w:val="0"/>
      <w:marTop w:val="0"/>
      <w:marBottom w:val="0"/>
      <w:divBdr>
        <w:top w:val="none" w:sz="0" w:space="0" w:color="auto"/>
        <w:left w:val="none" w:sz="0" w:space="0" w:color="auto"/>
        <w:bottom w:val="none" w:sz="0" w:space="0" w:color="auto"/>
        <w:right w:val="none" w:sz="0" w:space="0" w:color="auto"/>
      </w:divBdr>
      <w:divsChild>
        <w:div w:id="1117218996">
          <w:marLeft w:val="0"/>
          <w:marRight w:val="0"/>
          <w:marTop w:val="0"/>
          <w:marBottom w:val="0"/>
          <w:divBdr>
            <w:top w:val="none" w:sz="0" w:space="0" w:color="auto"/>
            <w:left w:val="none" w:sz="0" w:space="0" w:color="auto"/>
            <w:bottom w:val="none" w:sz="0" w:space="0" w:color="auto"/>
            <w:right w:val="none" w:sz="0" w:space="0" w:color="auto"/>
          </w:divBdr>
          <w:divsChild>
            <w:div w:id="1950044274">
              <w:marLeft w:val="0"/>
              <w:marRight w:val="0"/>
              <w:marTop w:val="0"/>
              <w:marBottom w:val="0"/>
              <w:divBdr>
                <w:top w:val="none" w:sz="0" w:space="0" w:color="auto"/>
                <w:left w:val="none" w:sz="0" w:space="0" w:color="auto"/>
                <w:bottom w:val="none" w:sz="0" w:space="0" w:color="auto"/>
                <w:right w:val="none" w:sz="0" w:space="0" w:color="auto"/>
              </w:divBdr>
              <w:divsChild>
                <w:div w:id="20906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831844">
      <w:bodyDiv w:val="1"/>
      <w:marLeft w:val="0"/>
      <w:marRight w:val="0"/>
      <w:marTop w:val="0"/>
      <w:marBottom w:val="0"/>
      <w:divBdr>
        <w:top w:val="none" w:sz="0" w:space="0" w:color="auto"/>
        <w:left w:val="none" w:sz="0" w:space="0" w:color="auto"/>
        <w:bottom w:val="none" w:sz="0" w:space="0" w:color="auto"/>
        <w:right w:val="none" w:sz="0" w:space="0" w:color="auto"/>
      </w:divBdr>
      <w:divsChild>
        <w:div w:id="2115441960">
          <w:marLeft w:val="475"/>
          <w:marRight w:val="0"/>
          <w:marTop w:val="0"/>
          <w:marBottom w:val="0"/>
          <w:divBdr>
            <w:top w:val="none" w:sz="0" w:space="0" w:color="auto"/>
            <w:left w:val="none" w:sz="0" w:space="0" w:color="auto"/>
            <w:bottom w:val="none" w:sz="0" w:space="0" w:color="auto"/>
            <w:right w:val="none" w:sz="0" w:space="0" w:color="auto"/>
          </w:divBdr>
        </w:div>
        <w:div w:id="1159543010">
          <w:marLeft w:val="475"/>
          <w:marRight w:val="0"/>
          <w:marTop w:val="0"/>
          <w:marBottom w:val="0"/>
          <w:divBdr>
            <w:top w:val="none" w:sz="0" w:space="0" w:color="auto"/>
            <w:left w:val="none" w:sz="0" w:space="0" w:color="auto"/>
            <w:bottom w:val="none" w:sz="0" w:space="0" w:color="auto"/>
            <w:right w:val="none" w:sz="0" w:space="0" w:color="auto"/>
          </w:divBdr>
        </w:div>
        <w:div w:id="927035497">
          <w:marLeft w:val="475"/>
          <w:marRight w:val="0"/>
          <w:marTop w:val="0"/>
          <w:marBottom w:val="0"/>
          <w:divBdr>
            <w:top w:val="none" w:sz="0" w:space="0" w:color="auto"/>
            <w:left w:val="none" w:sz="0" w:space="0" w:color="auto"/>
            <w:bottom w:val="none" w:sz="0" w:space="0" w:color="auto"/>
            <w:right w:val="none" w:sz="0" w:space="0" w:color="auto"/>
          </w:divBdr>
        </w:div>
        <w:div w:id="1074469380">
          <w:marLeft w:val="475"/>
          <w:marRight w:val="0"/>
          <w:marTop w:val="0"/>
          <w:marBottom w:val="0"/>
          <w:divBdr>
            <w:top w:val="none" w:sz="0" w:space="0" w:color="auto"/>
            <w:left w:val="none" w:sz="0" w:space="0" w:color="auto"/>
            <w:bottom w:val="none" w:sz="0" w:space="0" w:color="auto"/>
            <w:right w:val="none" w:sz="0" w:space="0" w:color="auto"/>
          </w:divBdr>
        </w:div>
        <w:div w:id="1680959742">
          <w:marLeft w:val="475"/>
          <w:marRight w:val="0"/>
          <w:marTop w:val="0"/>
          <w:marBottom w:val="0"/>
          <w:divBdr>
            <w:top w:val="none" w:sz="0" w:space="0" w:color="auto"/>
            <w:left w:val="none" w:sz="0" w:space="0" w:color="auto"/>
            <w:bottom w:val="none" w:sz="0" w:space="0" w:color="auto"/>
            <w:right w:val="none" w:sz="0" w:space="0" w:color="auto"/>
          </w:divBdr>
        </w:div>
        <w:div w:id="2095011749">
          <w:marLeft w:val="475"/>
          <w:marRight w:val="0"/>
          <w:marTop w:val="0"/>
          <w:marBottom w:val="0"/>
          <w:divBdr>
            <w:top w:val="none" w:sz="0" w:space="0" w:color="auto"/>
            <w:left w:val="none" w:sz="0" w:space="0" w:color="auto"/>
            <w:bottom w:val="none" w:sz="0" w:space="0" w:color="auto"/>
            <w:right w:val="none" w:sz="0" w:space="0" w:color="auto"/>
          </w:divBdr>
        </w:div>
        <w:div w:id="1108433615">
          <w:marLeft w:val="475"/>
          <w:marRight w:val="0"/>
          <w:marTop w:val="0"/>
          <w:marBottom w:val="0"/>
          <w:divBdr>
            <w:top w:val="none" w:sz="0" w:space="0" w:color="auto"/>
            <w:left w:val="none" w:sz="0" w:space="0" w:color="auto"/>
            <w:bottom w:val="none" w:sz="0" w:space="0" w:color="auto"/>
            <w:right w:val="none" w:sz="0" w:space="0" w:color="auto"/>
          </w:divBdr>
        </w:div>
        <w:div w:id="135997618">
          <w:marLeft w:val="475"/>
          <w:marRight w:val="0"/>
          <w:marTop w:val="0"/>
          <w:marBottom w:val="0"/>
          <w:divBdr>
            <w:top w:val="none" w:sz="0" w:space="0" w:color="auto"/>
            <w:left w:val="none" w:sz="0" w:space="0" w:color="auto"/>
            <w:bottom w:val="none" w:sz="0" w:space="0" w:color="auto"/>
            <w:right w:val="none" w:sz="0" w:space="0" w:color="auto"/>
          </w:divBdr>
        </w:div>
        <w:div w:id="638799649">
          <w:marLeft w:val="475"/>
          <w:marRight w:val="0"/>
          <w:marTop w:val="0"/>
          <w:marBottom w:val="0"/>
          <w:divBdr>
            <w:top w:val="none" w:sz="0" w:space="0" w:color="auto"/>
            <w:left w:val="none" w:sz="0" w:space="0" w:color="auto"/>
            <w:bottom w:val="none" w:sz="0" w:space="0" w:color="auto"/>
            <w:right w:val="none" w:sz="0" w:space="0" w:color="auto"/>
          </w:divBdr>
        </w:div>
        <w:div w:id="1634408753">
          <w:marLeft w:val="475"/>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swan@cox.net"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isec.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0BC7C-E8B0-4143-B811-67A57E47B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2498</Words>
  <Characters>14240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Swan</dc:creator>
  <cp:keywords/>
  <dc:description/>
  <cp:lastModifiedBy>Michael Fitzgerald</cp:lastModifiedBy>
  <cp:revision>2</cp:revision>
  <cp:lastPrinted>2019-09-22T19:11:00Z</cp:lastPrinted>
  <dcterms:created xsi:type="dcterms:W3CDTF">2021-09-26T17:19:00Z</dcterms:created>
  <dcterms:modified xsi:type="dcterms:W3CDTF">2021-09-26T17:19:00Z</dcterms:modified>
</cp:coreProperties>
</file>